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694D" w14:textId="0E3A4003" w:rsidR="00AC4C8F" w:rsidRPr="005A4CDB" w:rsidRDefault="006A3F69" w:rsidP="006A3F69">
      <w:pPr>
        <w:pStyle w:val="Documenttitle"/>
        <w:rPr>
          <w:strike/>
        </w:rPr>
        <w:sectPr w:rsidR="00AC4C8F" w:rsidRPr="005A4CDB" w:rsidSect="002D516A">
          <w:headerReference w:type="default" r:id="rId8"/>
          <w:footerReference w:type="even" r:id="rId9"/>
          <w:footerReference w:type="default" r:id="rId10"/>
          <w:pgSz w:w="11907" w:h="16840" w:code="9"/>
          <w:pgMar w:top="964" w:right="964" w:bottom="794" w:left="964" w:header="567" w:footer="567" w:gutter="0"/>
          <w:cols w:space="708"/>
          <w:docGrid w:linePitch="360"/>
        </w:sectPr>
      </w:pPr>
      <w:r>
        <w:t xml:space="preserve">Plymouth City Council </w:t>
      </w:r>
      <w:r w:rsidR="00EB70C1" w:rsidRPr="000E7E52">
        <w:t xml:space="preserve">Net Zero Action Plan </w:t>
      </w:r>
      <w:r w:rsidR="00D20F81" w:rsidRPr="000E7E52">
        <w:t>202</w:t>
      </w:r>
      <w:r w:rsidR="005A4CDB">
        <w:t>5</w:t>
      </w:r>
      <w:r w:rsidR="00D20F81" w:rsidRPr="000E7E52">
        <w:t>-202</w:t>
      </w:r>
      <w:r w:rsidR="005A4CDB">
        <w:t>8</w:t>
      </w:r>
      <w:r>
        <w:t xml:space="preserve"> </w:t>
      </w:r>
    </w:p>
    <w:p w14:paraId="2906A7D5" w14:textId="77777777" w:rsidR="00D94ACB" w:rsidRPr="00E87F84" w:rsidRDefault="00D94ACB" w:rsidP="002C1211">
      <w:pPr>
        <w:numPr>
          <w:ilvl w:val="0"/>
          <w:numId w:val="0"/>
        </w:numPr>
      </w:pPr>
    </w:p>
    <w:p w14:paraId="7251B001" w14:textId="3F66827F" w:rsidR="009E294F" w:rsidRPr="0084367F" w:rsidRDefault="009E294F">
      <w:pPr>
        <w:numPr>
          <w:ilvl w:val="0"/>
          <w:numId w:val="0"/>
        </w:numPr>
        <w:spacing w:before="0"/>
        <w:rPr>
          <w:color w:val="7030A0"/>
        </w:rPr>
      </w:pPr>
    </w:p>
    <w:p w14:paraId="5C5B9340" w14:textId="77777777" w:rsidR="0033655E" w:rsidRDefault="0033655E">
      <w:pPr>
        <w:numPr>
          <w:ilvl w:val="0"/>
          <w:numId w:val="0"/>
        </w:numPr>
        <w:spacing w:before="0"/>
      </w:pPr>
    </w:p>
    <w:p w14:paraId="5D5BC823" w14:textId="47151831" w:rsidR="009E294F" w:rsidRPr="00C7330E" w:rsidRDefault="009E294F" w:rsidP="00F20BA4">
      <w:pPr>
        <w:pStyle w:val="Pagesubheading"/>
        <w:tabs>
          <w:tab w:val="left" w:pos="4403"/>
        </w:tabs>
      </w:pPr>
      <w:r w:rsidRPr="00C7330E">
        <w:t>What is the Net Zero Action Plan?</w:t>
      </w:r>
      <w:r w:rsidR="00F20BA4">
        <w:tab/>
      </w:r>
    </w:p>
    <w:p w14:paraId="1C21EECA" w14:textId="6F158270" w:rsidR="008C745E" w:rsidRDefault="009E294F" w:rsidP="00827A84">
      <w:pPr>
        <w:pStyle w:val="ListBullet"/>
        <w:numPr>
          <w:ilvl w:val="0"/>
          <w:numId w:val="0"/>
        </w:numPr>
      </w:pPr>
      <w:r w:rsidRPr="2564C82B">
        <w:rPr>
          <w:lang w:val="en-US"/>
        </w:rPr>
        <w:t xml:space="preserve">The Net Zero Action Plan (NZAP) is a three-year delivery plan, setting out the City Council’s proposals to reduce its greenhouse gas emissions. It responds to the Net Zero Plymouth challenge set out in the </w:t>
      </w:r>
      <w:hyperlink r:id="rId11">
        <w:r w:rsidRPr="2564C82B">
          <w:rPr>
            <w:rStyle w:val="Hyperlink"/>
            <w:lang w:val="en-US"/>
          </w:rPr>
          <w:t>Climate Connections Plymouth</w:t>
        </w:r>
      </w:hyperlink>
      <w:r w:rsidRPr="2564C82B">
        <w:rPr>
          <w:lang w:val="en-US"/>
        </w:rPr>
        <w:t xml:space="preserve"> website and explains how the City Council will aim to play its part in delivering the </w:t>
      </w:r>
      <w:hyperlink r:id="rId12">
        <w:r w:rsidRPr="2564C82B">
          <w:rPr>
            <w:rStyle w:val="Hyperlink"/>
            <w:lang w:val="en-US"/>
          </w:rPr>
          <w:t>Plymouth Plan</w:t>
        </w:r>
      </w:hyperlink>
      <w:r w:rsidRPr="2564C82B">
        <w:rPr>
          <w:lang w:val="en-US"/>
        </w:rPr>
        <w:t>’s policy aim.</w:t>
      </w:r>
      <w:r w:rsidR="00782B6D">
        <w:rPr>
          <w:lang w:val="en-US"/>
        </w:rPr>
        <w:t xml:space="preserve"> The NZAP is reviewed each year</w:t>
      </w:r>
      <w:r w:rsidR="009B09D1">
        <w:rPr>
          <w:lang w:val="en-US"/>
        </w:rPr>
        <w:t xml:space="preserve"> to </w:t>
      </w:r>
      <w:r w:rsidR="00295A87">
        <w:rPr>
          <w:lang w:val="en-US"/>
        </w:rPr>
        <w:t>ensure it remains in step with new developments</w:t>
      </w:r>
      <w:r w:rsidR="008D0434">
        <w:rPr>
          <w:lang w:val="en-US"/>
        </w:rPr>
        <w:t xml:space="preserve"> in the council’s activities</w:t>
      </w:r>
      <w:r w:rsidR="00782B6D">
        <w:rPr>
          <w:lang w:val="en-US"/>
        </w:rPr>
        <w:t xml:space="preserve">. </w:t>
      </w:r>
      <w:r w:rsidRPr="52E7B01D">
        <w:rPr>
          <w:lang w:val="en-US"/>
        </w:rPr>
        <w:t>Th</w:t>
      </w:r>
      <w:r w:rsidR="00BF3CA2">
        <w:rPr>
          <w:lang w:val="en-US"/>
        </w:rPr>
        <w:t>is</w:t>
      </w:r>
      <w:r w:rsidR="007E3CEA">
        <w:rPr>
          <w:lang w:val="en-US"/>
        </w:rPr>
        <w:t xml:space="preserve"> </w:t>
      </w:r>
      <w:r w:rsidRPr="52E7B01D">
        <w:rPr>
          <w:lang w:val="en-US"/>
        </w:rPr>
        <w:t>NZAP</w:t>
      </w:r>
      <w:r w:rsidR="0009509E">
        <w:rPr>
          <w:lang w:val="en-US"/>
        </w:rPr>
        <w:t xml:space="preserve"> </w:t>
      </w:r>
      <w:r w:rsidR="00BF3CA2">
        <w:rPr>
          <w:lang w:val="en-US"/>
        </w:rPr>
        <w:t xml:space="preserve">covers the period </w:t>
      </w:r>
      <w:r w:rsidR="0009509E">
        <w:rPr>
          <w:lang w:val="en-US"/>
        </w:rPr>
        <w:t>2025-2028</w:t>
      </w:r>
      <w:r w:rsidRPr="52E7B01D">
        <w:rPr>
          <w:lang w:val="en-US"/>
        </w:rPr>
        <w:t xml:space="preserve"> </w:t>
      </w:r>
      <w:r w:rsidR="00BF3CA2">
        <w:rPr>
          <w:lang w:val="en-US"/>
        </w:rPr>
        <w:t xml:space="preserve">and </w:t>
      </w:r>
      <w:r w:rsidR="0009509E">
        <w:rPr>
          <w:lang w:val="en-US"/>
        </w:rPr>
        <w:t>super</w:t>
      </w:r>
      <w:r w:rsidR="00BF3CA2">
        <w:rPr>
          <w:lang w:val="en-US"/>
        </w:rPr>
        <w:t>s</w:t>
      </w:r>
      <w:r w:rsidR="0009509E">
        <w:rPr>
          <w:lang w:val="en-US"/>
        </w:rPr>
        <w:t>ede</w:t>
      </w:r>
      <w:r w:rsidR="00BF3CA2">
        <w:rPr>
          <w:lang w:val="en-US"/>
        </w:rPr>
        <w:t>s</w:t>
      </w:r>
      <w:r w:rsidR="0009509E">
        <w:rPr>
          <w:lang w:val="en-US"/>
        </w:rPr>
        <w:t xml:space="preserve"> the NZAP </w:t>
      </w:r>
      <w:r w:rsidRPr="52E7B01D">
        <w:rPr>
          <w:lang w:val="en-US"/>
        </w:rPr>
        <w:t>202</w:t>
      </w:r>
      <w:r w:rsidR="0009509E">
        <w:rPr>
          <w:lang w:val="en-US"/>
        </w:rPr>
        <w:t>4</w:t>
      </w:r>
      <w:r w:rsidRPr="52E7B01D">
        <w:rPr>
          <w:lang w:val="en-US"/>
        </w:rPr>
        <w:t>-202</w:t>
      </w:r>
      <w:r w:rsidR="0009509E">
        <w:rPr>
          <w:lang w:val="en-US"/>
        </w:rPr>
        <w:t>7</w:t>
      </w:r>
      <w:r w:rsidRPr="52E7B01D">
        <w:rPr>
          <w:lang w:val="en-US"/>
        </w:rPr>
        <w:t xml:space="preserve">. </w:t>
      </w:r>
      <w:r w:rsidR="00827A84">
        <w:t>The full list of NZAP actions for 2025-</w:t>
      </w:r>
      <w:r w:rsidR="0056790A">
        <w:t>20</w:t>
      </w:r>
      <w:r w:rsidR="00827A84">
        <w:t>28 is available in annex I</w:t>
      </w:r>
      <w:r w:rsidR="00B81CAE">
        <w:t xml:space="preserve"> (page 1</w:t>
      </w:r>
      <w:r w:rsidR="00F4160C">
        <w:t>2</w:t>
      </w:r>
      <w:r w:rsidR="00B81CAE">
        <w:t>)</w:t>
      </w:r>
      <w:r w:rsidR="00827A84">
        <w:t>.</w:t>
      </w:r>
      <w:r w:rsidR="00F4160C">
        <w:t xml:space="preserve"> </w:t>
      </w:r>
      <w:r w:rsidR="00F4160C" w:rsidRPr="008C745E">
        <w:t>We continue to pursue commitments made for the period 2024-2027, but these have been reviewed to account for</w:t>
      </w:r>
      <w:r w:rsidR="00F4160C">
        <w:t xml:space="preserve"> i</w:t>
      </w:r>
      <w:r w:rsidR="00F4160C" w:rsidRPr="006C7119">
        <w:t>nitiatives that have become part of our usual practice</w:t>
      </w:r>
      <w:r w:rsidR="00F4160C">
        <w:t xml:space="preserve">s and will no longer be reported (see annex II, page </w:t>
      </w:r>
      <w:r w:rsidR="004349A5">
        <w:t>21</w:t>
      </w:r>
      <w:r w:rsidR="00F4160C">
        <w:t>) or changes in the scope or timescales of some of our commitments.</w:t>
      </w:r>
    </w:p>
    <w:p w14:paraId="1E3C6FB4" w14:textId="77777777" w:rsidR="00827A84" w:rsidRDefault="00827A84" w:rsidP="00827A84">
      <w:pPr>
        <w:pStyle w:val="ListBullet"/>
        <w:numPr>
          <w:ilvl w:val="0"/>
          <w:numId w:val="0"/>
        </w:numPr>
      </w:pPr>
    </w:p>
    <w:p w14:paraId="7204DC91" w14:textId="3436BC77" w:rsidR="009E294F" w:rsidRPr="00C7330E" w:rsidRDefault="009E294F" w:rsidP="009E294F">
      <w:pPr>
        <w:pStyle w:val="Pagesubheading"/>
      </w:pPr>
      <w:r w:rsidRPr="00C7330E">
        <w:t xml:space="preserve">Why do we need </w:t>
      </w:r>
      <w:r w:rsidR="00A060D6">
        <w:t>an action plan</w:t>
      </w:r>
      <w:r w:rsidRPr="00C7330E">
        <w:t>?</w:t>
      </w:r>
    </w:p>
    <w:p w14:paraId="3F8E8875" w14:textId="77777777" w:rsidR="009E294F" w:rsidRPr="00C7330E" w:rsidRDefault="009E294F" w:rsidP="009E294F">
      <w:pPr>
        <w:pStyle w:val="ListBullet"/>
        <w:numPr>
          <w:ilvl w:val="0"/>
          <w:numId w:val="0"/>
        </w:numPr>
      </w:pPr>
      <w:r w:rsidRPr="52E7B01D">
        <w:rPr>
          <w:lang w:val="en-US"/>
        </w:rPr>
        <w:t>On 18 March 2019, at a meeting of the City Council, councillors unanimously voted to declare a Climate Emergency, making a pledge to make Plymouth carbon neutral by 2030. This spirit of collaboration has continued through cross-party working on the climate emergency ever since.</w:t>
      </w:r>
    </w:p>
    <w:p w14:paraId="5A15CBFD" w14:textId="77777777" w:rsidR="009E294F" w:rsidRPr="00C7330E" w:rsidRDefault="009E294F" w:rsidP="009E294F">
      <w:pPr>
        <w:pStyle w:val="ListBullet"/>
        <w:numPr>
          <w:ilvl w:val="0"/>
          <w:numId w:val="0"/>
        </w:numPr>
      </w:pPr>
      <w:r w:rsidRPr="2564C82B">
        <w:rPr>
          <w:lang w:val="en-US"/>
        </w:rPr>
        <w:t>This pledge exceeds the climate objectives of the UK, which are to achieve net zero by 2050, recognising the need for the 2020s to be a decade of urgent and accelerated action.</w:t>
      </w:r>
    </w:p>
    <w:p w14:paraId="113FA0CC" w14:textId="77777777" w:rsidR="009E294F" w:rsidRPr="00C7330E" w:rsidRDefault="009E294F" w:rsidP="009E294F">
      <w:pPr>
        <w:pStyle w:val="ListBullet"/>
        <w:numPr>
          <w:ilvl w:val="0"/>
          <w:numId w:val="0"/>
        </w:numPr>
      </w:pPr>
      <w:r w:rsidRPr="2564C82B">
        <w:rPr>
          <w:lang w:val="en-US"/>
        </w:rPr>
        <w:t xml:space="preserve">The City Council alone cannot ensure that Plymouth achieves net zero. For that to happen, every individual and organisation needs to play its part. However, it can do all in its power to make sure that it addresses its own emissions. This is why it is so important for the City Council to put in place its own delivery plan for net zero. </w:t>
      </w:r>
    </w:p>
    <w:p w14:paraId="51087D90" w14:textId="77777777" w:rsidR="009E294F" w:rsidRDefault="009E294F" w:rsidP="009E294F">
      <w:pPr>
        <w:pStyle w:val="Pagesubheading"/>
      </w:pPr>
    </w:p>
    <w:p w14:paraId="4DC5D3C7" w14:textId="77777777" w:rsidR="009E294F" w:rsidRPr="00C7330E" w:rsidRDefault="009E294F" w:rsidP="009E294F">
      <w:pPr>
        <w:pStyle w:val="Pagesubheading"/>
      </w:pPr>
      <w:r w:rsidRPr="00C7330E">
        <w:t>Where are we now?</w:t>
      </w:r>
    </w:p>
    <w:p w14:paraId="395A6AA9" w14:textId="4FC9A624" w:rsidR="009E294F" w:rsidRDefault="009E294F" w:rsidP="009E294F">
      <w:pPr>
        <w:pStyle w:val="ListBullet"/>
        <w:numPr>
          <w:ilvl w:val="0"/>
          <w:numId w:val="0"/>
        </w:numPr>
        <w:rPr>
          <w:lang w:val="en-US"/>
        </w:rPr>
      </w:pPr>
      <w:r w:rsidRPr="2564C82B">
        <w:rPr>
          <w:lang w:val="en-US"/>
        </w:rPr>
        <w:t>The table shows our measured emissions since 2019. These cover what are known as Scope 1 and 2 emissions</w:t>
      </w:r>
      <w:r w:rsidRPr="00670F5F">
        <w:footnoteReference w:id="2"/>
      </w:r>
      <w:r w:rsidRPr="2564C82B">
        <w:rPr>
          <w:lang w:val="en-US"/>
        </w:rPr>
        <w:t>. The NZAP will aim to accelerate the reduction of these emissions so that the Council is a net zero organisation by 2030</w:t>
      </w:r>
      <w:r w:rsidR="00310D1B">
        <w:rPr>
          <w:lang w:val="en-US"/>
        </w:rPr>
        <w:t xml:space="preserve"> with regards to its scope 1 and 2 emissions</w:t>
      </w:r>
      <w:r w:rsidRPr="2564C82B">
        <w:rPr>
          <w:lang w:val="en-US"/>
        </w:rPr>
        <w:t>.</w:t>
      </w:r>
    </w:p>
    <w:p w14:paraId="3EE971F0" w14:textId="77777777" w:rsidR="002B6EDA" w:rsidRPr="00670F5F" w:rsidRDefault="007D7D25" w:rsidP="00670F5F">
      <w:pPr>
        <w:pStyle w:val="ListBullet"/>
        <w:numPr>
          <w:ilvl w:val="0"/>
          <w:numId w:val="0"/>
        </w:numPr>
        <w:rPr>
          <w:lang w:val="en-US"/>
        </w:rPr>
      </w:pPr>
      <w:r w:rsidRPr="00670F5F">
        <w:rPr>
          <w:lang w:val="en-US"/>
        </w:rPr>
        <w:t>We</w:t>
      </w:r>
      <w:r w:rsidR="005974C4" w:rsidRPr="00670F5F">
        <w:rPr>
          <w:lang w:val="en-US"/>
        </w:rPr>
        <w:t xml:space="preserve"> ha</w:t>
      </w:r>
      <w:r w:rsidRPr="00670F5F">
        <w:rPr>
          <w:lang w:val="en-US"/>
        </w:rPr>
        <w:t>ve</w:t>
      </w:r>
      <w:r w:rsidR="005974C4" w:rsidRPr="00670F5F">
        <w:rPr>
          <w:lang w:val="en-US"/>
        </w:rPr>
        <w:t xml:space="preserve"> committed to continually improve our understanding of our </w:t>
      </w:r>
      <w:r w:rsidR="000C3449" w:rsidRPr="00670F5F">
        <w:rPr>
          <w:lang w:val="en-US"/>
        </w:rPr>
        <w:t xml:space="preserve">corporate greenhouse gas (GHG) </w:t>
      </w:r>
      <w:r w:rsidR="005974C4" w:rsidRPr="00670F5F">
        <w:rPr>
          <w:lang w:val="en-US"/>
        </w:rPr>
        <w:t xml:space="preserve">emissions. </w:t>
      </w:r>
      <w:r w:rsidR="00D800AB" w:rsidRPr="00670F5F">
        <w:rPr>
          <w:lang w:val="en-US"/>
        </w:rPr>
        <w:t>As part of this continuous improvement</w:t>
      </w:r>
      <w:r w:rsidR="005974C4" w:rsidRPr="00670F5F">
        <w:rPr>
          <w:lang w:val="en-US"/>
        </w:rPr>
        <w:t xml:space="preserve">, </w:t>
      </w:r>
      <w:r w:rsidR="0030336D" w:rsidRPr="00670F5F">
        <w:rPr>
          <w:lang w:val="en-US"/>
        </w:rPr>
        <w:t>i</w:t>
      </w:r>
      <w:r w:rsidR="00532684" w:rsidRPr="00670F5F">
        <w:rPr>
          <w:lang w:val="en-US"/>
        </w:rPr>
        <w:t xml:space="preserve">n 2023, we changed the way we </w:t>
      </w:r>
      <w:r w:rsidR="000C3449" w:rsidRPr="00670F5F">
        <w:rPr>
          <w:lang w:val="en-US"/>
        </w:rPr>
        <w:t xml:space="preserve">collect data and </w:t>
      </w:r>
      <w:r w:rsidR="00532684" w:rsidRPr="00670F5F">
        <w:rPr>
          <w:lang w:val="en-US"/>
        </w:rPr>
        <w:t xml:space="preserve">calculate </w:t>
      </w:r>
      <w:r w:rsidR="000C3449" w:rsidRPr="00670F5F">
        <w:rPr>
          <w:lang w:val="en-US"/>
        </w:rPr>
        <w:t>our GHG emissions</w:t>
      </w:r>
      <w:r w:rsidR="00532684" w:rsidRPr="00670F5F">
        <w:rPr>
          <w:lang w:val="en-US"/>
        </w:rPr>
        <w:t xml:space="preserve">. </w:t>
      </w:r>
      <w:r w:rsidR="002B6EDA" w:rsidRPr="00670F5F">
        <w:rPr>
          <w:lang w:val="en-US"/>
        </w:rPr>
        <w:t xml:space="preserve">After a review of our data collection and reporting, we </w:t>
      </w:r>
      <w:r w:rsidR="00DE1E86" w:rsidRPr="00670F5F">
        <w:rPr>
          <w:lang w:val="en-US"/>
        </w:rPr>
        <w:t>asked</w:t>
      </w:r>
      <w:r w:rsidR="0030336D" w:rsidRPr="00670F5F">
        <w:rPr>
          <w:lang w:val="en-US"/>
        </w:rPr>
        <w:t xml:space="preserve"> the Centre for Energy and the Environment at the </w:t>
      </w:r>
      <w:r w:rsidR="000C3449" w:rsidRPr="00670F5F">
        <w:rPr>
          <w:lang w:val="en-US"/>
        </w:rPr>
        <w:t>U</w:t>
      </w:r>
      <w:r w:rsidR="0030336D" w:rsidRPr="00670F5F">
        <w:rPr>
          <w:lang w:val="en-US"/>
        </w:rPr>
        <w:t>niversity of Exeter</w:t>
      </w:r>
      <w:r w:rsidR="00DE1E86" w:rsidRPr="00670F5F">
        <w:rPr>
          <w:lang w:val="en-US"/>
        </w:rPr>
        <w:t xml:space="preserve"> to complete</w:t>
      </w:r>
      <w:r w:rsidR="00015D90" w:rsidRPr="00670F5F">
        <w:rPr>
          <w:lang w:val="en-US"/>
        </w:rPr>
        <w:t xml:space="preserve"> the reporting for us</w:t>
      </w:r>
      <w:r w:rsidR="0030336D" w:rsidRPr="00670F5F">
        <w:rPr>
          <w:lang w:val="en-US"/>
        </w:rPr>
        <w:t>.</w:t>
      </w:r>
      <w:r w:rsidR="00DE1E86" w:rsidRPr="00670F5F">
        <w:rPr>
          <w:lang w:val="en-US"/>
        </w:rPr>
        <w:t xml:space="preserve"> </w:t>
      </w:r>
    </w:p>
    <w:p w14:paraId="0AE351AF" w14:textId="64141290" w:rsidR="00CF3262" w:rsidRDefault="00B80E5B" w:rsidP="004E2DF0">
      <w:pPr>
        <w:pStyle w:val="ListBullet"/>
        <w:numPr>
          <w:ilvl w:val="0"/>
          <w:numId w:val="0"/>
        </w:numPr>
        <w:rPr>
          <w:lang w:val="en-US"/>
        </w:rPr>
      </w:pPr>
      <w:r w:rsidRPr="00670F5F">
        <w:rPr>
          <w:lang w:val="en-US"/>
        </w:rPr>
        <w:t>W</w:t>
      </w:r>
      <w:r w:rsidR="00527466" w:rsidRPr="00670F5F">
        <w:rPr>
          <w:lang w:val="en-US"/>
        </w:rPr>
        <w:t xml:space="preserve">e are now reporting </w:t>
      </w:r>
      <w:r w:rsidR="009B2D66" w:rsidRPr="00670F5F">
        <w:rPr>
          <w:lang w:val="en-US"/>
        </w:rPr>
        <w:t xml:space="preserve">at the end of each </w:t>
      </w:r>
      <w:r w:rsidR="00527466" w:rsidRPr="00670F5F">
        <w:rPr>
          <w:lang w:val="en-US"/>
        </w:rPr>
        <w:t xml:space="preserve">financial year, </w:t>
      </w:r>
      <w:r w:rsidR="00E0669D" w:rsidRPr="00670F5F">
        <w:rPr>
          <w:lang w:val="en-US"/>
        </w:rPr>
        <w:t xml:space="preserve">which run </w:t>
      </w:r>
      <w:r w:rsidR="00527466" w:rsidRPr="00670F5F">
        <w:rPr>
          <w:lang w:val="en-US"/>
        </w:rPr>
        <w:t xml:space="preserve">from </w:t>
      </w:r>
      <w:r w:rsidR="00730705" w:rsidRPr="00670F5F">
        <w:rPr>
          <w:lang w:val="en-US"/>
        </w:rPr>
        <w:t xml:space="preserve">1st </w:t>
      </w:r>
      <w:r w:rsidR="00527466" w:rsidRPr="00670F5F">
        <w:rPr>
          <w:lang w:val="en-US"/>
        </w:rPr>
        <w:t xml:space="preserve">April to </w:t>
      </w:r>
      <w:r w:rsidR="00730705" w:rsidRPr="00670F5F">
        <w:rPr>
          <w:lang w:val="en-US"/>
        </w:rPr>
        <w:t xml:space="preserve">31st </w:t>
      </w:r>
      <w:r w:rsidR="00527466" w:rsidRPr="00670F5F">
        <w:rPr>
          <w:lang w:val="en-US"/>
        </w:rPr>
        <w:t xml:space="preserve">March, rather than </w:t>
      </w:r>
      <w:r w:rsidR="00E0669D" w:rsidRPr="00670F5F">
        <w:rPr>
          <w:lang w:val="en-US"/>
        </w:rPr>
        <w:t xml:space="preserve">at the end of </w:t>
      </w:r>
      <w:r w:rsidR="00527466" w:rsidRPr="00670F5F">
        <w:rPr>
          <w:lang w:val="en-US"/>
        </w:rPr>
        <w:t>calendar years. Th</w:t>
      </w:r>
      <w:r w:rsidR="005E3D4A" w:rsidRPr="00670F5F">
        <w:rPr>
          <w:lang w:val="en-US"/>
        </w:rPr>
        <w:t xml:space="preserve">e information </w:t>
      </w:r>
      <w:r w:rsidR="000542B2" w:rsidRPr="00670F5F">
        <w:rPr>
          <w:lang w:val="en-US"/>
        </w:rPr>
        <w:t xml:space="preserve">we need to calculate our emissions becomes available to us </w:t>
      </w:r>
      <w:r w:rsidR="00E0669D" w:rsidRPr="00670F5F">
        <w:rPr>
          <w:lang w:val="en-US"/>
        </w:rPr>
        <w:t>after we close our accounts</w:t>
      </w:r>
      <w:r w:rsidR="00D12706" w:rsidRPr="00670F5F">
        <w:rPr>
          <w:lang w:val="en-US"/>
        </w:rPr>
        <w:t xml:space="preserve">. This method </w:t>
      </w:r>
      <w:r w:rsidR="000542B2" w:rsidRPr="00670F5F">
        <w:rPr>
          <w:lang w:val="en-US"/>
        </w:rPr>
        <w:t>simplif</w:t>
      </w:r>
      <w:r w:rsidR="00D12706" w:rsidRPr="00670F5F">
        <w:rPr>
          <w:lang w:val="en-US"/>
        </w:rPr>
        <w:t xml:space="preserve">ies </w:t>
      </w:r>
      <w:r w:rsidR="000542B2" w:rsidRPr="00670F5F">
        <w:rPr>
          <w:lang w:val="en-US"/>
        </w:rPr>
        <w:t xml:space="preserve">the process of </w:t>
      </w:r>
      <w:r w:rsidRPr="00670F5F">
        <w:rPr>
          <w:lang w:val="en-US"/>
        </w:rPr>
        <w:t xml:space="preserve">obtaining </w:t>
      </w:r>
      <w:r w:rsidRPr="00670F5F">
        <w:rPr>
          <w:lang w:val="en-US"/>
        </w:rPr>
        <w:lastRenderedPageBreak/>
        <w:t>accurate data</w:t>
      </w:r>
      <w:r w:rsidR="000542B2" w:rsidRPr="00670F5F">
        <w:rPr>
          <w:lang w:val="en-US"/>
        </w:rPr>
        <w:t xml:space="preserve">. </w:t>
      </w:r>
      <w:r w:rsidR="009B78BE" w:rsidRPr="00670F5F">
        <w:rPr>
          <w:lang w:val="en-US"/>
        </w:rPr>
        <w:t xml:space="preserve">We also now include a calculation of our Scope 3 emissions. </w:t>
      </w:r>
      <w:r w:rsidR="00512798" w:rsidRPr="00670F5F">
        <w:rPr>
          <w:lang w:val="en-US"/>
        </w:rPr>
        <w:t>This new methodology means that our new emissions are not comparable like</w:t>
      </w:r>
      <w:r w:rsidR="0018177C" w:rsidRPr="00670F5F">
        <w:rPr>
          <w:lang w:val="en-US"/>
        </w:rPr>
        <w:t>-</w:t>
      </w:r>
      <w:r w:rsidR="00512798" w:rsidRPr="00670F5F">
        <w:rPr>
          <w:lang w:val="en-US"/>
        </w:rPr>
        <w:t>for</w:t>
      </w:r>
      <w:r w:rsidR="0018177C" w:rsidRPr="00670F5F">
        <w:rPr>
          <w:lang w:val="en-US"/>
        </w:rPr>
        <w:t>-</w:t>
      </w:r>
      <w:r w:rsidR="00512798" w:rsidRPr="00670F5F">
        <w:rPr>
          <w:lang w:val="en-US"/>
        </w:rPr>
        <w:t>like with previous emissions reporting</w:t>
      </w:r>
      <w:r w:rsidR="00985A72" w:rsidRPr="00670F5F">
        <w:rPr>
          <w:lang w:val="en-US"/>
        </w:rPr>
        <w:t>.</w:t>
      </w:r>
      <w:r w:rsidR="004E2DF0">
        <w:rPr>
          <w:lang w:val="en-US"/>
        </w:rPr>
        <w:t xml:space="preserve"> </w:t>
      </w:r>
    </w:p>
    <w:p w14:paraId="5CBAA86A" w14:textId="0CAB81C7" w:rsidR="009E294F" w:rsidRPr="004E2DF0" w:rsidRDefault="00E12A5F" w:rsidP="004E2DF0">
      <w:pPr>
        <w:pStyle w:val="ListBullet"/>
        <w:numPr>
          <w:ilvl w:val="0"/>
          <w:numId w:val="0"/>
        </w:numPr>
        <w:rPr>
          <w:lang w:val="en-US"/>
        </w:rPr>
      </w:pPr>
      <w:r w:rsidRPr="007C0D50">
        <w:rPr>
          <w:color w:val="000000" w:themeColor="text1"/>
        </w:rPr>
        <w:t xml:space="preserve">In </w:t>
      </w:r>
      <w:r w:rsidR="006A37D1" w:rsidRPr="007C0D50">
        <w:rPr>
          <w:color w:val="000000" w:themeColor="text1"/>
        </w:rPr>
        <w:t>T</w:t>
      </w:r>
      <w:r w:rsidRPr="007C0D50">
        <w:rPr>
          <w:color w:val="000000" w:themeColor="text1"/>
        </w:rPr>
        <w:t>able</w:t>
      </w:r>
      <w:r w:rsidR="00FC0F96" w:rsidRPr="007C0D50">
        <w:rPr>
          <w:color w:val="000000" w:themeColor="text1"/>
        </w:rPr>
        <w:t xml:space="preserve"> </w:t>
      </w:r>
      <w:r w:rsidR="006A37D1" w:rsidRPr="007C0D50">
        <w:rPr>
          <w:color w:val="000000" w:themeColor="text1"/>
        </w:rPr>
        <w:t>A</w:t>
      </w:r>
      <w:r w:rsidRPr="007C0D50">
        <w:rPr>
          <w:color w:val="000000" w:themeColor="text1"/>
        </w:rPr>
        <w:t xml:space="preserve"> below, we present data collected using the previous methodology</w:t>
      </w:r>
      <w:r w:rsidR="00FC0F96" w:rsidRPr="007C0D50">
        <w:rPr>
          <w:color w:val="000000" w:themeColor="text1"/>
        </w:rPr>
        <w:t xml:space="preserve"> between 2019 and 2022.</w:t>
      </w:r>
      <w:r w:rsidR="00CF3262">
        <w:rPr>
          <w:color w:val="000000" w:themeColor="text1"/>
        </w:rPr>
        <w:t xml:space="preserve"> </w:t>
      </w:r>
      <w:r w:rsidR="00FC0F96" w:rsidRPr="007C0D50">
        <w:rPr>
          <w:color w:val="000000" w:themeColor="text1"/>
        </w:rPr>
        <w:t xml:space="preserve">Table </w:t>
      </w:r>
      <w:r w:rsidR="006A37D1" w:rsidRPr="007C0D50">
        <w:rPr>
          <w:color w:val="000000" w:themeColor="text1"/>
        </w:rPr>
        <w:t>B</w:t>
      </w:r>
      <w:r w:rsidR="00FC0F96" w:rsidRPr="007C0D50">
        <w:rPr>
          <w:color w:val="000000" w:themeColor="text1"/>
        </w:rPr>
        <w:t xml:space="preserve"> presents data collected using the new methodology in 2022/23 and 2023/24. </w:t>
      </w:r>
    </w:p>
    <w:p w14:paraId="7B6FD78F" w14:textId="77777777" w:rsidR="00FF4CC6" w:rsidRPr="00532684" w:rsidRDefault="00FF4CC6" w:rsidP="009E294F">
      <w:pPr>
        <w:numPr>
          <w:ilvl w:val="0"/>
          <w:numId w:val="0"/>
        </w:numPr>
        <w:spacing w:before="0"/>
        <w:rPr>
          <w:b/>
          <w:sz w:val="28"/>
          <w:szCs w:val="28"/>
          <w:lang w:val="en"/>
        </w:rPr>
      </w:pPr>
    </w:p>
    <w:p w14:paraId="7FDBCE3C" w14:textId="4A8BCE2A" w:rsidR="009E294F" w:rsidRPr="0098034C" w:rsidRDefault="006A37D1" w:rsidP="00A46998">
      <w:pPr>
        <w:pStyle w:val="ListBullet"/>
        <w:numPr>
          <w:ilvl w:val="0"/>
          <w:numId w:val="0"/>
        </w:numPr>
        <w:spacing w:after="120"/>
        <w:jc w:val="center"/>
        <w:rPr>
          <w:b/>
        </w:rPr>
      </w:pPr>
      <w:r w:rsidRPr="0098034C">
        <w:rPr>
          <w:b/>
        </w:rPr>
        <w:t xml:space="preserve">Table A - </w:t>
      </w:r>
      <w:r w:rsidR="009E294F" w:rsidRPr="0098034C">
        <w:rPr>
          <w:b/>
        </w:rPr>
        <w:t xml:space="preserve">Plymouth City Council </w:t>
      </w:r>
      <w:r w:rsidR="00AF27DC">
        <w:rPr>
          <w:b/>
        </w:rPr>
        <w:t>GHG</w:t>
      </w:r>
      <w:r w:rsidR="009E294F" w:rsidRPr="0098034C">
        <w:rPr>
          <w:b/>
        </w:rPr>
        <w:t xml:space="preserve"> Emissions (in </w:t>
      </w:r>
      <w:r w:rsidRPr="0098034C">
        <w:rPr>
          <w:b/>
        </w:rPr>
        <w:t>t</w:t>
      </w:r>
      <w:r w:rsidR="009E294F" w:rsidRPr="0098034C">
        <w:rPr>
          <w:b/>
        </w:rPr>
        <w:t>CO</w:t>
      </w:r>
      <w:r w:rsidR="009E294F" w:rsidRPr="0098034C">
        <w:rPr>
          <w:b/>
          <w:vertAlign w:val="subscript"/>
        </w:rPr>
        <w:t>2</w:t>
      </w:r>
      <w:r w:rsidR="009E294F" w:rsidRPr="0098034C">
        <w:rPr>
          <w:b/>
        </w:rPr>
        <w:t>e)</w:t>
      </w:r>
      <w:r w:rsidRPr="0098034C">
        <w:rPr>
          <w:b/>
        </w:rPr>
        <w:t xml:space="preserve"> between 2019 and 2022</w:t>
      </w:r>
    </w:p>
    <w:p w14:paraId="2E83CAEF" w14:textId="77777777" w:rsidR="009E294F" w:rsidRPr="00764C8F" w:rsidRDefault="009E294F" w:rsidP="009E294F">
      <w:pPr>
        <w:pStyle w:val="ListBullet"/>
        <w:numPr>
          <w:ilvl w:val="0"/>
          <w:numId w:val="0"/>
        </w:numPr>
        <w:jc w:val="center"/>
        <w:rPr>
          <w:sz w:val="2"/>
          <w:szCs w:val="2"/>
        </w:rPr>
      </w:pPr>
    </w:p>
    <w:tbl>
      <w:tblPr>
        <w:tblW w:w="9969" w:type="dxa"/>
        <w:tblCellMar>
          <w:left w:w="0" w:type="dxa"/>
          <w:right w:w="0" w:type="dxa"/>
        </w:tblCellMar>
        <w:tblLook w:val="0600" w:firstRow="0" w:lastRow="0" w:firstColumn="0" w:lastColumn="0" w:noHBand="1" w:noVBand="1"/>
      </w:tblPr>
      <w:tblGrid>
        <w:gridCol w:w="2979"/>
        <w:gridCol w:w="1422"/>
        <w:gridCol w:w="1422"/>
        <w:gridCol w:w="1422"/>
        <w:gridCol w:w="1268"/>
        <w:gridCol w:w="1456"/>
      </w:tblGrid>
      <w:tr w:rsidR="009E294F" w:rsidRPr="00807226" w14:paraId="54ED5605" w14:textId="77777777" w:rsidTr="52E7B01D">
        <w:trPr>
          <w:trHeight w:val="167"/>
        </w:trPr>
        <w:tc>
          <w:tcPr>
            <w:tcW w:w="2979" w:type="dxa"/>
            <w:tcBorders>
              <w:top w:val="single" w:sz="4" w:space="0" w:color="00B050"/>
              <w:left w:val="single" w:sz="4" w:space="0" w:color="00B050"/>
              <w:bottom w:val="single" w:sz="4" w:space="0" w:color="00B050"/>
              <w:right w:val="single" w:sz="4" w:space="0" w:color="00B050"/>
            </w:tcBorders>
            <w:shd w:val="clear" w:color="auto" w:fill="00B050"/>
            <w:tcMar>
              <w:top w:w="72" w:type="dxa"/>
              <w:left w:w="144" w:type="dxa"/>
              <w:bottom w:w="72" w:type="dxa"/>
              <w:right w:w="144" w:type="dxa"/>
            </w:tcMar>
            <w:vAlign w:val="center"/>
            <w:hideMark/>
          </w:tcPr>
          <w:p w14:paraId="110D0579" w14:textId="77777777" w:rsidR="009E294F" w:rsidRPr="00764C8F" w:rsidRDefault="009E294F" w:rsidP="00A043FC">
            <w:pPr>
              <w:numPr>
                <w:ilvl w:val="0"/>
                <w:numId w:val="0"/>
              </w:numPr>
              <w:spacing w:before="0"/>
              <w:jc w:val="center"/>
              <w:rPr>
                <w:b/>
                <w:bCs/>
                <w:color w:val="FFFFFF" w:themeColor="background1"/>
                <w:lang w:val="en"/>
              </w:rPr>
            </w:pPr>
            <w:r w:rsidRPr="00764C8F">
              <w:rPr>
                <w:b/>
                <w:bCs/>
                <w:color w:val="FFFFFF" w:themeColor="background1"/>
                <w:lang w:val="en"/>
              </w:rPr>
              <w:t>Sector</w:t>
            </w:r>
          </w:p>
        </w:tc>
        <w:tc>
          <w:tcPr>
            <w:tcW w:w="1422" w:type="dxa"/>
            <w:tcBorders>
              <w:top w:val="single" w:sz="4" w:space="0" w:color="00B050"/>
              <w:left w:val="single" w:sz="4" w:space="0" w:color="00B050"/>
              <w:bottom w:val="single" w:sz="4" w:space="0" w:color="00B050"/>
              <w:right w:val="single" w:sz="4" w:space="0" w:color="00B050"/>
            </w:tcBorders>
            <w:shd w:val="clear" w:color="auto" w:fill="00B050"/>
            <w:tcMar>
              <w:top w:w="72" w:type="dxa"/>
              <w:left w:w="144" w:type="dxa"/>
              <w:bottom w:w="72" w:type="dxa"/>
              <w:right w:w="144" w:type="dxa"/>
            </w:tcMar>
            <w:vAlign w:val="center"/>
            <w:hideMark/>
          </w:tcPr>
          <w:p w14:paraId="3B97B3D8" w14:textId="77777777" w:rsidR="009E294F" w:rsidRPr="00764C8F" w:rsidRDefault="009E294F" w:rsidP="00A043FC">
            <w:pPr>
              <w:numPr>
                <w:ilvl w:val="0"/>
                <w:numId w:val="0"/>
              </w:numPr>
              <w:spacing w:before="0"/>
              <w:jc w:val="center"/>
              <w:textAlignment w:val="baseline"/>
              <w:rPr>
                <w:b/>
                <w:bCs/>
                <w:color w:val="FFFFFF" w:themeColor="background1"/>
                <w:lang w:val="en"/>
              </w:rPr>
            </w:pPr>
            <w:r w:rsidRPr="00764C8F">
              <w:rPr>
                <w:b/>
                <w:bCs/>
                <w:color w:val="FFFFFF" w:themeColor="background1"/>
                <w:lang w:val="en"/>
              </w:rPr>
              <w:t>2019</w:t>
            </w:r>
          </w:p>
        </w:tc>
        <w:tc>
          <w:tcPr>
            <w:tcW w:w="1422" w:type="dxa"/>
            <w:tcBorders>
              <w:top w:val="single" w:sz="4" w:space="0" w:color="00B050"/>
              <w:left w:val="single" w:sz="4" w:space="0" w:color="00B050"/>
              <w:bottom w:val="single" w:sz="4" w:space="0" w:color="00B050"/>
              <w:right w:val="single" w:sz="4" w:space="0" w:color="00B050"/>
            </w:tcBorders>
            <w:shd w:val="clear" w:color="auto" w:fill="00B050"/>
            <w:tcMar>
              <w:top w:w="72" w:type="dxa"/>
              <w:left w:w="144" w:type="dxa"/>
              <w:bottom w:w="72" w:type="dxa"/>
              <w:right w:w="144" w:type="dxa"/>
            </w:tcMar>
            <w:vAlign w:val="center"/>
            <w:hideMark/>
          </w:tcPr>
          <w:p w14:paraId="45DB4AD9" w14:textId="77777777" w:rsidR="009E294F" w:rsidRPr="00764C8F" w:rsidRDefault="009E294F" w:rsidP="00A043FC">
            <w:pPr>
              <w:numPr>
                <w:ilvl w:val="0"/>
                <w:numId w:val="0"/>
              </w:numPr>
              <w:spacing w:before="0"/>
              <w:jc w:val="center"/>
              <w:textAlignment w:val="baseline"/>
              <w:rPr>
                <w:b/>
                <w:bCs/>
                <w:color w:val="FFFFFF" w:themeColor="background1"/>
                <w:lang w:val="en"/>
              </w:rPr>
            </w:pPr>
            <w:r w:rsidRPr="00764C8F">
              <w:rPr>
                <w:b/>
                <w:bCs/>
                <w:color w:val="FFFFFF" w:themeColor="background1"/>
                <w:lang w:val="en"/>
              </w:rPr>
              <w:t>2020</w:t>
            </w:r>
          </w:p>
        </w:tc>
        <w:tc>
          <w:tcPr>
            <w:tcW w:w="1422" w:type="dxa"/>
            <w:tcBorders>
              <w:top w:val="single" w:sz="4" w:space="0" w:color="00B050"/>
              <w:left w:val="single" w:sz="4" w:space="0" w:color="00B050"/>
              <w:bottom w:val="single" w:sz="4" w:space="0" w:color="00B050"/>
              <w:right w:val="single" w:sz="4" w:space="0" w:color="00B050"/>
            </w:tcBorders>
            <w:shd w:val="clear" w:color="auto" w:fill="00B050"/>
            <w:tcMar>
              <w:top w:w="72" w:type="dxa"/>
              <w:left w:w="144" w:type="dxa"/>
              <w:bottom w:w="72" w:type="dxa"/>
              <w:right w:w="144" w:type="dxa"/>
            </w:tcMar>
            <w:vAlign w:val="center"/>
            <w:hideMark/>
          </w:tcPr>
          <w:p w14:paraId="08D33775" w14:textId="77777777" w:rsidR="009E294F" w:rsidRPr="00764C8F" w:rsidRDefault="009E294F" w:rsidP="00A043FC">
            <w:pPr>
              <w:numPr>
                <w:ilvl w:val="0"/>
                <w:numId w:val="0"/>
              </w:numPr>
              <w:spacing w:before="0"/>
              <w:jc w:val="center"/>
              <w:textAlignment w:val="baseline"/>
              <w:rPr>
                <w:b/>
                <w:bCs/>
                <w:color w:val="FFFFFF" w:themeColor="background1"/>
                <w:lang w:val="en"/>
              </w:rPr>
            </w:pPr>
            <w:r w:rsidRPr="00764C8F">
              <w:rPr>
                <w:b/>
                <w:bCs/>
                <w:color w:val="FFFFFF" w:themeColor="background1"/>
                <w:lang w:val="en"/>
              </w:rPr>
              <w:t>2021</w:t>
            </w:r>
          </w:p>
        </w:tc>
        <w:tc>
          <w:tcPr>
            <w:tcW w:w="1268" w:type="dxa"/>
            <w:tcBorders>
              <w:top w:val="single" w:sz="4" w:space="0" w:color="00B050"/>
              <w:left w:val="single" w:sz="4" w:space="0" w:color="00B050"/>
              <w:bottom w:val="single" w:sz="4" w:space="0" w:color="00B050"/>
              <w:right w:val="single" w:sz="4" w:space="0" w:color="00B050"/>
            </w:tcBorders>
            <w:shd w:val="clear" w:color="auto" w:fill="00B050"/>
            <w:vAlign w:val="center"/>
          </w:tcPr>
          <w:p w14:paraId="2A034811" w14:textId="77777777" w:rsidR="009E294F" w:rsidRPr="00764C8F" w:rsidRDefault="009E294F" w:rsidP="00A043FC">
            <w:pPr>
              <w:numPr>
                <w:ilvl w:val="0"/>
                <w:numId w:val="0"/>
              </w:numPr>
              <w:spacing w:before="0"/>
              <w:jc w:val="center"/>
              <w:textAlignment w:val="baseline"/>
              <w:rPr>
                <w:b/>
                <w:bCs/>
                <w:color w:val="FFFFFF" w:themeColor="background1"/>
                <w:lang w:val="en"/>
              </w:rPr>
            </w:pPr>
            <w:r w:rsidRPr="00764C8F">
              <w:rPr>
                <w:b/>
                <w:bCs/>
                <w:color w:val="FFFFFF" w:themeColor="background1"/>
                <w:lang w:val="en"/>
              </w:rPr>
              <w:t>2022</w:t>
            </w:r>
          </w:p>
        </w:tc>
        <w:tc>
          <w:tcPr>
            <w:tcW w:w="1456" w:type="dxa"/>
            <w:tcBorders>
              <w:top w:val="single" w:sz="4" w:space="0" w:color="00B050"/>
              <w:left w:val="single" w:sz="4" w:space="0" w:color="00B050"/>
              <w:bottom w:val="single" w:sz="4" w:space="0" w:color="00B050"/>
              <w:right w:val="single" w:sz="4" w:space="0" w:color="00B050"/>
            </w:tcBorders>
            <w:shd w:val="clear" w:color="auto" w:fill="00B050"/>
            <w:tcMar>
              <w:top w:w="72" w:type="dxa"/>
              <w:left w:w="144" w:type="dxa"/>
              <w:bottom w:w="72" w:type="dxa"/>
              <w:right w:w="144" w:type="dxa"/>
            </w:tcMar>
            <w:hideMark/>
          </w:tcPr>
          <w:p w14:paraId="5AF06F5E" w14:textId="77777777" w:rsidR="009E294F" w:rsidRPr="00807226" w:rsidRDefault="009E294F" w:rsidP="00A043FC">
            <w:pPr>
              <w:numPr>
                <w:ilvl w:val="0"/>
                <w:numId w:val="0"/>
              </w:numPr>
              <w:spacing w:before="0"/>
              <w:jc w:val="center"/>
              <w:textAlignment w:val="baseline"/>
              <w:rPr>
                <w:b/>
                <w:bCs/>
                <w:color w:val="FFFFFF" w:themeColor="background1"/>
                <w:sz w:val="20"/>
                <w:szCs w:val="20"/>
                <w:lang w:val="en"/>
              </w:rPr>
            </w:pPr>
            <w:r w:rsidRPr="00807226">
              <w:rPr>
                <w:b/>
                <w:bCs/>
                <w:color w:val="FFFFFF" w:themeColor="background1"/>
                <w:sz w:val="20"/>
                <w:szCs w:val="20"/>
                <w:lang w:val="en"/>
              </w:rPr>
              <w:t>Change from 2019 baseline</w:t>
            </w:r>
          </w:p>
        </w:tc>
      </w:tr>
      <w:tr w:rsidR="009E294F" w:rsidRPr="00C7330E" w14:paraId="062051A2" w14:textId="77777777" w:rsidTr="52E7B01D">
        <w:trPr>
          <w:trHeight w:val="145"/>
        </w:trPr>
        <w:tc>
          <w:tcPr>
            <w:tcW w:w="2979"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3009D4BC" w14:textId="77777777" w:rsidR="009E294F" w:rsidRPr="00C7330E" w:rsidRDefault="009E294F" w:rsidP="00860631">
            <w:pPr>
              <w:numPr>
                <w:ilvl w:val="0"/>
                <w:numId w:val="0"/>
              </w:numPr>
              <w:spacing w:before="0"/>
              <w:textAlignment w:val="baseline"/>
              <w:rPr>
                <w:sz w:val="22"/>
                <w:szCs w:val="22"/>
                <w:lang w:val="en"/>
              </w:rPr>
            </w:pPr>
            <w:r w:rsidRPr="00C7330E">
              <w:rPr>
                <w:sz w:val="22"/>
                <w:szCs w:val="22"/>
                <w:lang w:val="en"/>
              </w:rPr>
              <w:t>Council buildings </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0432FEC0"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4,051</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3363C60C"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3,306</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15B179FA"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3,815</w:t>
            </w:r>
          </w:p>
        </w:tc>
        <w:tc>
          <w:tcPr>
            <w:tcW w:w="1268" w:type="dxa"/>
            <w:tcBorders>
              <w:top w:val="single" w:sz="4" w:space="0" w:color="00B050"/>
              <w:left w:val="single" w:sz="4" w:space="0" w:color="00B050"/>
              <w:bottom w:val="single" w:sz="4" w:space="0" w:color="00B050"/>
              <w:right w:val="single" w:sz="4" w:space="0" w:color="00B050"/>
            </w:tcBorders>
            <w:vAlign w:val="center"/>
          </w:tcPr>
          <w:p w14:paraId="54A12776" w14:textId="77777777" w:rsidR="009E294F" w:rsidRPr="00C7330E" w:rsidRDefault="009E294F" w:rsidP="00860631">
            <w:pPr>
              <w:numPr>
                <w:ilvl w:val="0"/>
                <w:numId w:val="0"/>
              </w:numPr>
              <w:spacing w:before="0"/>
              <w:jc w:val="center"/>
              <w:textAlignment w:val="baseline"/>
              <w:rPr>
                <w:sz w:val="22"/>
                <w:szCs w:val="22"/>
                <w:lang w:val="en"/>
              </w:rPr>
            </w:pPr>
            <w:r>
              <w:rPr>
                <w:sz w:val="22"/>
                <w:szCs w:val="22"/>
                <w:lang w:val="en"/>
              </w:rPr>
              <w:t>3,198</w:t>
            </w:r>
          </w:p>
        </w:tc>
        <w:tc>
          <w:tcPr>
            <w:tcW w:w="1456"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4573CA2F"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w:t>
            </w:r>
            <w:r>
              <w:rPr>
                <w:sz w:val="22"/>
                <w:szCs w:val="22"/>
                <w:lang w:val="en"/>
              </w:rPr>
              <w:t>21.1</w:t>
            </w:r>
            <w:r w:rsidRPr="00C7330E">
              <w:rPr>
                <w:sz w:val="22"/>
                <w:szCs w:val="22"/>
                <w:lang w:val="en"/>
              </w:rPr>
              <w:t>%</w:t>
            </w:r>
          </w:p>
        </w:tc>
      </w:tr>
      <w:tr w:rsidR="009E294F" w:rsidRPr="00C7330E" w14:paraId="09C6A064" w14:textId="77777777" w:rsidTr="52E7B01D">
        <w:trPr>
          <w:trHeight w:val="280"/>
        </w:trPr>
        <w:tc>
          <w:tcPr>
            <w:tcW w:w="2979"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20E85E30" w14:textId="77777777" w:rsidR="009E294F" w:rsidRPr="00C7330E" w:rsidRDefault="009E294F" w:rsidP="00860631">
            <w:pPr>
              <w:numPr>
                <w:ilvl w:val="0"/>
                <w:numId w:val="0"/>
              </w:numPr>
              <w:spacing w:before="0"/>
              <w:textAlignment w:val="baseline"/>
              <w:rPr>
                <w:sz w:val="22"/>
                <w:szCs w:val="22"/>
                <w:lang w:val="en"/>
              </w:rPr>
            </w:pPr>
            <w:r w:rsidRPr="00C7330E">
              <w:rPr>
                <w:sz w:val="22"/>
                <w:szCs w:val="22"/>
                <w:lang w:val="en"/>
              </w:rPr>
              <w:t>Vehicles / fleet / transport / equipment </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0D7222F8"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1,545</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6EB43B2A"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1,744</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134EA782"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1,584</w:t>
            </w:r>
          </w:p>
        </w:tc>
        <w:tc>
          <w:tcPr>
            <w:tcW w:w="1268" w:type="dxa"/>
            <w:tcBorders>
              <w:top w:val="single" w:sz="4" w:space="0" w:color="00B050"/>
              <w:left w:val="single" w:sz="4" w:space="0" w:color="00B050"/>
              <w:bottom w:val="single" w:sz="4" w:space="0" w:color="00B050"/>
              <w:right w:val="single" w:sz="4" w:space="0" w:color="00B050"/>
            </w:tcBorders>
            <w:vAlign w:val="center"/>
          </w:tcPr>
          <w:p w14:paraId="4B7CD368" w14:textId="77777777" w:rsidR="009E294F" w:rsidRPr="00C7330E" w:rsidRDefault="009E294F" w:rsidP="00860631">
            <w:pPr>
              <w:numPr>
                <w:ilvl w:val="0"/>
                <w:numId w:val="0"/>
              </w:numPr>
              <w:spacing w:before="0"/>
              <w:jc w:val="center"/>
              <w:textAlignment w:val="baseline"/>
              <w:rPr>
                <w:sz w:val="22"/>
                <w:szCs w:val="22"/>
                <w:lang w:val="en"/>
              </w:rPr>
            </w:pPr>
            <w:r>
              <w:rPr>
                <w:sz w:val="22"/>
                <w:szCs w:val="22"/>
                <w:lang w:val="en"/>
              </w:rPr>
              <w:t>1,691</w:t>
            </w:r>
          </w:p>
        </w:tc>
        <w:tc>
          <w:tcPr>
            <w:tcW w:w="1456"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0EC72AEE" w14:textId="77777777" w:rsidR="009E294F" w:rsidRPr="00C7330E" w:rsidRDefault="009E294F" w:rsidP="00860631">
            <w:pPr>
              <w:numPr>
                <w:ilvl w:val="0"/>
                <w:numId w:val="0"/>
              </w:numPr>
              <w:spacing w:before="0"/>
              <w:jc w:val="center"/>
              <w:textAlignment w:val="baseline"/>
              <w:rPr>
                <w:sz w:val="22"/>
                <w:szCs w:val="22"/>
                <w:lang w:val="en"/>
              </w:rPr>
            </w:pPr>
            <w:r>
              <w:rPr>
                <w:sz w:val="22"/>
                <w:szCs w:val="22"/>
                <w:lang w:val="en"/>
              </w:rPr>
              <w:t>9.4</w:t>
            </w:r>
            <w:r w:rsidRPr="00C7330E">
              <w:rPr>
                <w:sz w:val="22"/>
                <w:szCs w:val="22"/>
                <w:lang w:val="en"/>
              </w:rPr>
              <w:t>%</w:t>
            </w:r>
          </w:p>
        </w:tc>
      </w:tr>
      <w:tr w:rsidR="009E294F" w:rsidRPr="00C7330E" w14:paraId="1CF469A2" w14:textId="77777777" w:rsidTr="52E7B01D">
        <w:trPr>
          <w:trHeight w:val="415"/>
        </w:trPr>
        <w:tc>
          <w:tcPr>
            <w:tcW w:w="2979"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2403CB16" w14:textId="77777777" w:rsidR="009E294F" w:rsidRPr="00C7330E" w:rsidRDefault="009E294F" w:rsidP="00860631">
            <w:pPr>
              <w:numPr>
                <w:ilvl w:val="0"/>
                <w:numId w:val="0"/>
              </w:numPr>
              <w:spacing w:before="0"/>
              <w:textAlignment w:val="baseline"/>
              <w:rPr>
                <w:sz w:val="22"/>
                <w:szCs w:val="22"/>
                <w:lang w:val="en"/>
              </w:rPr>
            </w:pPr>
            <w:r w:rsidRPr="00C7330E">
              <w:rPr>
                <w:sz w:val="22"/>
                <w:szCs w:val="22"/>
                <w:lang w:val="en"/>
              </w:rPr>
              <w:t>Roads and street furniture, including lighting and traffic lights </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4092CBA8"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2,002</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5A9BBC81"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1,807</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239B7DDA"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1,390</w:t>
            </w:r>
          </w:p>
        </w:tc>
        <w:tc>
          <w:tcPr>
            <w:tcW w:w="1268" w:type="dxa"/>
            <w:tcBorders>
              <w:top w:val="single" w:sz="4" w:space="0" w:color="00B050"/>
              <w:left w:val="single" w:sz="4" w:space="0" w:color="00B050"/>
              <w:bottom w:val="single" w:sz="4" w:space="0" w:color="00B050"/>
              <w:right w:val="single" w:sz="4" w:space="0" w:color="00B050"/>
            </w:tcBorders>
            <w:vAlign w:val="center"/>
          </w:tcPr>
          <w:p w14:paraId="1F37D7A2" w14:textId="77777777" w:rsidR="009E294F" w:rsidRPr="00C7330E" w:rsidRDefault="009E294F" w:rsidP="00860631">
            <w:pPr>
              <w:numPr>
                <w:ilvl w:val="0"/>
                <w:numId w:val="0"/>
              </w:numPr>
              <w:spacing w:before="0"/>
              <w:jc w:val="center"/>
              <w:textAlignment w:val="baseline"/>
              <w:rPr>
                <w:sz w:val="22"/>
                <w:szCs w:val="22"/>
                <w:lang w:val="en"/>
              </w:rPr>
            </w:pPr>
            <w:r>
              <w:rPr>
                <w:sz w:val="22"/>
                <w:szCs w:val="22"/>
                <w:lang w:val="en"/>
              </w:rPr>
              <w:t>1,266</w:t>
            </w:r>
          </w:p>
        </w:tc>
        <w:tc>
          <w:tcPr>
            <w:tcW w:w="1456"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3C58279C"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w:t>
            </w:r>
            <w:r>
              <w:rPr>
                <w:sz w:val="22"/>
                <w:szCs w:val="22"/>
                <w:lang w:val="en"/>
              </w:rPr>
              <w:t>29.0</w:t>
            </w:r>
            <w:r w:rsidRPr="00C7330E">
              <w:rPr>
                <w:sz w:val="22"/>
                <w:szCs w:val="22"/>
                <w:lang w:val="en"/>
              </w:rPr>
              <w:t>%</w:t>
            </w:r>
          </w:p>
        </w:tc>
      </w:tr>
      <w:tr w:rsidR="009E294F" w:rsidRPr="00C7330E" w14:paraId="057A6534" w14:textId="77777777" w:rsidTr="52E7B01D">
        <w:trPr>
          <w:trHeight w:val="285"/>
        </w:trPr>
        <w:tc>
          <w:tcPr>
            <w:tcW w:w="2979"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67853D26" w14:textId="77777777" w:rsidR="009E294F" w:rsidRPr="00C7330E" w:rsidRDefault="009E294F" w:rsidP="52E7B01D">
            <w:pPr>
              <w:spacing w:before="0"/>
              <w:textAlignment w:val="baseline"/>
              <w:rPr>
                <w:sz w:val="22"/>
                <w:szCs w:val="22"/>
                <w:lang w:val="en-US"/>
              </w:rPr>
            </w:pPr>
            <w:r w:rsidRPr="52E7B01D">
              <w:rPr>
                <w:sz w:val="22"/>
                <w:szCs w:val="22"/>
                <w:lang w:val="en-US"/>
              </w:rPr>
              <w:t>Staff and councillor travel / travel at work </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7D87B7B6"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326</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5A9FCA4F"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218</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3F212904"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218</w:t>
            </w:r>
          </w:p>
        </w:tc>
        <w:tc>
          <w:tcPr>
            <w:tcW w:w="1268" w:type="dxa"/>
            <w:tcBorders>
              <w:top w:val="single" w:sz="4" w:space="0" w:color="00B050"/>
              <w:left w:val="single" w:sz="4" w:space="0" w:color="00B050"/>
              <w:bottom w:val="single" w:sz="4" w:space="0" w:color="00B050"/>
              <w:right w:val="single" w:sz="4" w:space="0" w:color="00B050"/>
            </w:tcBorders>
            <w:vAlign w:val="center"/>
          </w:tcPr>
          <w:p w14:paraId="762F6301" w14:textId="77777777" w:rsidR="009E294F" w:rsidRPr="00C7330E" w:rsidRDefault="009E294F" w:rsidP="00860631">
            <w:pPr>
              <w:numPr>
                <w:ilvl w:val="0"/>
                <w:numId w:val="0"/>
              </w:numPr>
              <w:spacing w:before="0"/>
              <w:jc w:val="center"/>
              <w:textAlignment w:val="baseline"/>
              <w:rPr>
                <w:sz w:val="22"/>
                <w:szCs w:val="22"/>
                <w:lang w:val="en"/>
              </w:rPr>
            </w:pPr>
            <w:r>
              <w:rPr>
                <w:sz w:val="22"/>
                <w:szCs w:val="22"/>
                <w:lang w:val="en"/>
              </w:rPr>
              <w:t>157</w:t>
            </w:r>
          </w:p>
        </w:tc>
        <w:tc>
          <w:tcPr>
            <w:tcW w:w="1456"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12F6146D" w14:textId="77777777" w:rsidR="009E294F" w:rsidRPr="00C7330E" w:rsidRDefault="009E294F" w:rsidP="00860631">
            <w:pPr>
              <w:numPr>
                <w:ilvl w:val="0"/>
                <w:numId w:val="0"/>
              </w:numPr>
              <w:spacing w:before="0"/>
              <w:jc w:val="center"/>
              <w:textAlignment w:val="baseline"/>
              <w:rPr>
                <w:sz w:val="22"/>
                <w:szCs w:val="22"/>
                <w:lang w:val="en"/>
              </w:rPr>
            </w:pPr>
            <w:r w:rsidRPr="00C7330E">
              <w:rPr>
                <w:sz w:val="22"/>
                <w:szCs w:val="22"/>
                <w:lang w:val="en"/>
              </w:rPr>
              <w:t>-</w:t>
            </w:r>
            <w:r>
              <w:rPr>
                <w:sz w:val="22"/>
                <w:szCs w:val="22"/>
                <w:lang w:val="en"/>
              </w:rPr>
              <w:t>51.8</w:t>
            </w:r>
            <w:r w:rsidRPr="00C7330E">
              <w:rPr>
                <w:sz w:val="22"/>
                <w:szCs w:val="22"/>
                <w:lang w:val="en"/>
              </w:rPr>
              <w:t>%</w:t>
            </w:r>
          </w:p>
        </w:tc>
      </w:tr>
      <w:tr w:rsidR="009E294F" w:rsidRPr="00C7330E" w14:paraId="4769DAA3" w14:textId="77777777" w:rsidTr="52E7B01D">
        <w:trPr>
          <w:trHeight w:val="180"/>
        </w:trPr>
        <w:tc>
          <w:tcPr>
            <w:tcW w:w="2979"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438939EE" w14:textId="77777777" w:rsidR="009E294F" w:rsidRPr="00C7330E" w:rsidRDefault="009E294F" w:rsidP="00860631">
            <w:pPr>
              <w:numPr>
                <w:ilvl w:val="0"/>
                <w:numId w:val="0"/>
              </w:numPr>
              <w:spacing w:before="0"/>
              <w:textAlignment w:val="baseline"/>
              <w:rPr>
                <w:b/>
                <w:bCs/>
                <w:sz w:val="22"/>
                <w:szCs w:val="22"/>
                <w:lang w:val="en"/>
              </w:rPr>
            </w:pPr>
            <w:r w:rsidRPr="00C7330E">
              <w:rPr>
                <w:b/>
                <w:bCs/>
                <w:sz w:val="22"/>
                <w:szCs w:val="22"/>
                <w:lang w:val="en"/>
              </w:rPr>
              <w:t>Total (Tonnes of CO2e) </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02804897" w14:textId="77777777" w:rsidR="009E294F" w:rsidRPr="00C7330E" w:rsidRDefault="009E294F" w:rsidP="00860631">
            <w:pPr>
              <w:numPr>
                <w:ilvl w:val="0"/>
                <w:numId w:val="0"/>
              </w:numPr>
              <w:spacing w:before="0"/>
              <w:jc w:val="center"/>
              <w:textAlignment w:val="baseline"/>
              <w:rPr>
                <w:b/>
                <w:sz w:val="22"/>
                <w:szCs w:val="22"/>
                <w:lang w:val="en"/>
              </w:rPr>
            </w:pPr>
            <w:r w:rsidRPr="00C7330E">
              <w:rPr>
                <w:b/>
                <w:sz w:val="22"/>
                <w:szCs w:val="22"/>
                <w:lang w:val="en"/>
              </w:rPr>
              <w:t>7,924</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0E6D7644" w14:textId="77777777" w:rsidR="009E294F" w:rsidRPr="00C7330E" w:rsidRDefault="009E294F" w:rsidP="00860631">
            <w:pPr>
              <w:numPr>
                <w:ilvl w:val="0"/>
                <w:numId w:val="0"/>
              </w:numPr>
              <w:spacing w:before="0"/>
              <w:jc w:val="center"/>
              <w:textAlignment w:val="baseline"/>
              <w:rPr>
                <w:b/>
                <w:sz w:val="22"/>
                <w:szCs w:val="22"/>
                <w:lang w:val="en"/>
              </w:rPr>
            </w:pPr>
            <w:r w:rsidRPr="00C7330E">
              <w:rPr>
                <w:b/>
                <w:sz w:val="22"/>
                <w:szCs w:val="22"/>
                <w:lang w:val="en"/>
              </w:rPr>
              <w:t>7,075</w:t>
            </w:r>
          </w:p>
        </w:tc>
        <w:tc>
          <w:tcPr>
            <w:tcW w:w="1422"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185EC508" w14:textId="77777777" w:rsidR="009E294F" w:rsidRPr="00C7330E" w:rsidRDefault="009E294F" w:rsidP="00860631">
            <w:pPr>
              <w:numPr>
                <w:ilvl w:val="0"/>
                <w:numId w:val="0"/>
              </w:numPr>
              <w:spacing w:before="0"/>
              <w:jc w:val="center"/>
              <w:textAlignment w:val="baseline"/>
              <w:rPr>
                <w:b/>
                <w:sz w:val="22"/>
                <w:szCs w:val="22"/>
                <w:lang w:val="en"/>
              </w:rPr>
            </w:pPr>
            <w:r w:rsidRPr="00C7330E">
              <w:rPr>
                <w:b/>
                <w:sz w:val="22"/>
                <w:szCs w:val="22"/>
                <w:lang w:val="en"/>
              </w:rPr>
              <w:t>7,007</w:t>
            </w:r>
          </w:p>
        </w:tc>
        <w:tc>
          <w:tcPr>
            <w:tcW w:w="1268" w:type="dxa"/>
            <w:tcBorders>
              <w:top w:val="single" w:sz="4" w:space="0" w:color="00B050"/>
              <w:left w:val="single" w:sz="4" w:space="0" w:color="00B050"/>
              <w:bottom w:val="single" w:sz="4" w:space="0" w:color="00B050"/>
              <w:right w:val="single" w:sz="4" w:space="0" w:color="00B050"/>
            </w:tcBorders>
            <w:vAlign w:val="center"/>
          </w:tcPr>
          <w:p w14:paraId="06B9827A" w14:textId="77777777" w:rsidR="009E294F" w:rsidRPr="00C7330E" w:rsidRDefault="009E294F" w:rsidP="00860631">
            <w:pPr>
              <w:numPr>
                <w:ilvl w:val="0"/>
                <w:numId w:val="0"/>
              </w:numPr>
              <w:spacing w:before="0"/>
              <w:jc w:val="center"/>
              <w:textAlignment w:val="baseline"/>
              <w:rPr>
                <w:b/>
                <w:sz w:val="22"/>
                <w:szCs w:val="22"/>
                <w:lang w:val="en"/>
              </w:rPr>
            </w:pPr>
            <w:r>
              <w:rPr>
                <w:b/>
                <w:sz w:val="22"/>
                <w:szCs w:val="22"/>
                <w:lang w:val="en"/>
              </w:rPr>
              <w:t>6,312</w:t>
            </w:r>
          </w:p>
        </w:tc>
        <w:tc>
          <w:tcPr>
            <w:tcW w:w="1456" w:type="dxa"/>
            <w:tcBorders>
              <w:top w:val="single" w:sz="4" w:space="0" w:color="00B050"/>
              <w:left w:val="single" w:sz="4" w:space="0" w:color="00B050"/>
              <w:bottom w:val="single" w:sz="4" w:space="0" w:color="00B050"/>
              <w:right w:val="single" w:sz="4" w:space="0" w:color="00B050"/>
            </w:tcBorders>
            <w:shd w:val="clear" w:color="auto" w:fill="auto"/>
            <w:tcMar>
              <w:top w:w="72" w:type="dxa"/>
              <w:left w:w="144" w:type="dxa"/>
              <w:bottom w:w="72" w:type="dxa"/>
              <w:right w:w="144" w:type="dxa"/>
            </w:tcMar>
            <w:vAlign w:val="center"/>
            <w:hideMark/>
          </w:tcPr>
          <w:p w14:paraId="15CF2923" w14:textId="77777777" w:rsidR="009E294F" w:rsidRPr="00C7330E" w:rsidRDefault="009E294F" w:rsidP="00860631">
            <w:pPr>
              <w:numPr>
                <w:ilvl w:val="0"/>
                <w:numId w:val="0"/>
              </w:numPr>
              <w:spacing w:before="0"/>
              <w:jc w:val="center"/>
              <w:textAlignment w:val="baseline"/>
              <w:rPr>
                <w:b/>
                <w:sz w:val="22"/>
                <w:szCs w:val="22"/>
                <w:lang w:val="en"/>
              </w:rPr>
            </w:pPr>
            <w:r w:rsidRPr="00C7330E">
              <w:rPr>
                <w:b/>
                <w:sz w:val="22"/>
                <w:szCs w:val="22"/>
                <w:lang w:val="en"/>
              </w:rPr>
              <w:t>-1</w:t>
            </w:r>
            <w:r>
              <w:rPr>
                <w:b/>
                <w:sz w:val="22"/>
                <w:szCs w:val="22"/>
                <w:lang w:val="en"/>
              </w:rPr>
              <w:t>8</w:t>
            </w:r>
            <w:r w:rsidRPr="00C7330E">
              <w:rPr>
                <w:b/>
                <w:sz w:val="22"/>
                <w:szCs w:val="22"/>
                <w:lang w:val="en"/>
              </w:rPr>
              <w:t>.</w:t>
            </w:r>
            <w:r>
              <w:rPr>
                <w:b/>
                <w:sz w:val="22"/>
                <w:szCs w:val="22"/>
                <w:lang w:val="en"/>
              </w:rPr>
              <w:t>1</w:t>
            </w:r>
            <w:r w:rsidRPr="00C7330E">
              <w:rPr>
                <w:b/>
                <w:sz w:val="22"/>
                <w:szCs w:val="22"/>
                <w:lang w:val="en"/>
              </w:rPr>
              <w:t>%</w:t>
            </w:r>
          </w:p>
        </w:tc>
      </w:tr>
    </w:tbl>
    <w:p w14:paraId="380643DF" w14:textId="77777777" w:rsidR="00E12A5F" w:rsidRDefault="00E12A5F" w:rsidP="009E294F">
      <w:pPr>
        <w:pStyle w:val="ListBullet"/>
        <w:numPr>
          <w:ilvl w:val="0"/>
          <w:numId w:val="0"/>
        </w:numPr>
      </w:pPr>
    </w:p>
    <w:p w14:paraId="5A91ADC7" w14:textId="2797DA71" w:rsidR="006A37D1" w:rsidRPr="0098034C" w:rsidRDefault="006A37D1" w:rsidP="00A46998">
      <w:pPr>
        <w:pStyle w:val="ListBullet"/>
        <w:numPr>
          <w:ilvl w:val="0"/>
          <w:numId w:val="0"/>
        </w:numPr>
        <w:spacing w:after="120"/>
        <w:jc w:val="center"/>
        <w:rPr>
          <w:b/>
        </w:rPr>
      </w:pPr>
      <w:r w:rsidRPr="0098034C">
        <w:rPr>
          <w:b/>
        </w:rPr>
        <w:t xml:space="preserve">Table B - Plymouth City Council </w:t>
      </w:r>
      <w:r w:rsidR="00AF27DC">
        <w:rPr>
          <w:b/>
        </w:rPr>
        <w:t>GHG</w:t>
      </w:r>
      <w:r w:rsidRPr="0098034C">
        <w:rPr>
          <w:b/>
        </w:rPr>
        <w:t xml:space="preserve"> Emissions (in tCO</w:t>
      </w:r>
      <w:r w:rsidRPr="0098034C">
        <w:rPr>
          <w:b/>
          <w:vertAlign w:val="subscript"/>
        </w:rPr>
        <w:t>2</w:t>
      </w:r>
      <w:r w:rsidRPr="0098034C">
        <w:rPr>
          <w:b/>
        </w:rPr>
        <w:t xml:space="preserve">e) </w:t>
      </w:r>
      <w:r w:rsidR="00A46998">
        <w:rPr>
          <w:b/>
        </w:rPr>
        <w:t xml:space="preserve">by theme </w:t>
      </w:r>
      <w:r w:rsidRPr="0098034C">
        <w:rPr>
          <w:b/>
        </w:rPr>
        <w:t>between 2022/23 and 2023/24</w:t>
      </w:r>
      <w:r w:rsidR="002951A8">
        <w:rPr>
          <w:b/>
        </w:rPr>
        <w:t xml:space="preserve"> (all scopes)</w:t>
      </w:r>
    </w:p>
    <w:tbl>
      <w:tblPr>
        <w:tblStyle w:val="Corporatetablestyle"/>
        <w:tblW w:w="9861" w:type="dxa"/>
        <w:jc w:val="center"/>
        <w:tblInd w:w="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20" w:firstRow="1" w:lastRow="0" w:firstColumn="0" w:lastColumn="0" w:noHBand="0" w:noVBand="1"/>
      </w:tblPr>
      <w:tblGrid>
        <w:gridCol w:w="3392"/>
        <w:gridCol w:w="1948"/>
        <w:gridCol w:w="1949"/>
        <w:gridCol w:w="942"/>
        <w:gridCol w:w="1630"/>
      </w:tblGrid>
      <w:tr w:rsidR="00FA08D1" w:rsidRPr="001B6EC0" w14:paraId="185148D1" w14:textId="40A5868B" w:rsidTr="52E7B01D">
        <w:trPr>
          <w:cnfStyle w:val="100000000000" w:firstRow="1" w:lastRow="0" w:firstColumn="0" w:lastColumn="0" w:oddVBand="0" w:evenVBand="0" w:oddHBand="0" w:evenHBand="0" w:firstRowFirstColumn="0" w:firstRowLastColumn="0" w:lastRowFirstColumn="0" w:lastRowLastColumn="0"/>
          <w:jc w:val="center"/>
        </w:trPr>
        <w:tc>
          <w:tcPr>
            <w:tcW w:w="3476" w:type="dxa"/>
            <w:shd w:val="clear" w:color="auto" w:fill="00B050"/>
            <w:tcMar>
              <w:left w:w="85" w:type="dxa"/>
              <w:right w:w="85" w:type="dxa"/>
            </w:tcMar>
            <w:vAlign w:val="center"/>
            <w:hideMark/>
          </w:tcPr>
          <w:p w14:paraId="74F2BE4C" w14:textId="2403C849" w:rsidR="00FA08D1" w:rsidRPr="00E81269" w:rsidRDefault="006A37D1" w:rsidP="00A043FC">
            <w:pPr>
              <w:numPr>
                <w:ilvl w:val="0"/>
                <w:numId w:val="0"/>
              </w:numPr>
              <w:spacing w:after="120"/>
              <w:jc w:val="center"/>
              <w:rPr>
                <w:rFonts w:ascii="Gill Sans Nova" w:hAnsi="Gill Sans Nova"/>
                <w:color w:val="FFFFFF" w:themeColor="background1"/>
                <w:sz w:val="24"/>
                <w:lang w:val="en"/>
              </w:rPr>
            </w:pPr>
            <w:r w:rsidRPr="00E81269">
              <w:rPr>
                <w:rFonts w:ascii="Gill Sans Nova" w:hAnsi="Gill Sans Nova"/>
                <w:color w:val="FFFFFF" w:themeColor="background1"/>
                <w:sz w:val="24"/>
                <w:lang w:val="en"/>
              </w:rPr>
              <w:t>Theme</w:t>
            </w:r>
          </w:p>
        </w:tc>
        <w:tc>
          <w:tcPr>
            <w:tcW w:w="1983" w:type="dxa"/>
            <w:shd w:val="clear" w:color="auto" w:fill="00B050"/>
            <w:tcMar>
              <w:left w:w="85" w:type="dxa"/>
              <w:right w:w="85" w:type="dxa"/>
            </w:tcMar>
            <w:vAlign w:val="center"/>
          </w:tcPr>
          <w:p w14:paraId="1F7B5702" w14:textId="187984E8" w:rsidR="00FA08D1" w:rsidRPr="00E81269" w:rsidRDefault="00FA08D1" w:rsidP="00A043FC">
            <w:pPr>
              <w:numPr>
                <w:ilvl w:val="0"/>
                <w:numId w:val="0"/>
              </w:numPr>
              <w:spacing w:after="120"/>
              <w:jc w:val="center"/>
              <w:rPr>
                <w:rFonts w:ascii="Gill Sans Nova" w:hAnsi="Gill Sans Nova"/>
                <w:color w:val="FFFFFF" w:themeColor="background1"/>
                <w:sz w:val="24"/>
                <w:lang w:val="en"/>
              </w:rPr>
            </w:pPr>
            <w:r w:rsidRPr="00E81269">
              <w:rPr>
                <w:rFonts w:ascii="Gill Sans Nova" w:hAnsi="Gill Sans Nova"/>
                <w:color w:val="FFFFFF" w:themeColor="background1"/>
                <w:sz w:val="24"/>
                <w:lang w:val="en"/>
              </w:rPr>
              <w:t>2022/23</w:t>
            </w:r>
          </w:p>
        </w:tc>
        <w:tc>
          <w:tcPr>
            <w:tcW w:w="1984" w:type="dxa"/>
            <w:shd w:val="clear" w:color="auto" w:fill="00B050"/>
            <w:tcMar>
              <w:left w:w="85" w:type="dxa"/>
              <w:right w:w="85" w:type="dxa"/>
            </w:tcMar>
            <w:vAlign w:val="center"/>
          </w:tcPr>
          <w:p w14:paraId="0286A4D9" w14:textId="2BA67ECC" w:rsidR="00FA08D1" w:rsidRPr="00E81269" w:rsidRDefault="00FA08D1" w:rsidP="00A043FC">
            <w:pPr>
              <w:numPr>
                <w:ilvl w:val="0"/>
                <w:numId w:val="0"/>
              </w:numPr>
              <w:spacing w:after="120"/>
              <w:jc w:val="center"/>
              <w:rPr>
                <w:rFonts w:ascii="Gill Sans Nova" w:hAnsi="Gill Sans Nova"/>
                <w:color w:val="FFFFFF" w:themeColor="background1"/>
                <w:sz w:val="24"/>
                <w:lang w:val="en"/>
              </w:rPr>
            </w:pPr>
            <w:r w:rsidRPr="00E81269">
              <w:rPr>
                <w:rFonts w:ascii="Gill Sans Nova" w:hAnsi="Gill Sans Nova"/>
                <w:color w:val="FFFFFF" w:themeColor="background1"/>
                <w:sz w:val="24"/>
                <w:lang w:val="en"/>
              </w:rPr>
              <w:t>2023/24</w:t>
            </w:r>
          </w:p>
        </w:tc>
        <w:tc>
          <w:tcPr>
            <w:tcW w:w="2418" w:type="dxa"/>
            <w:gridSpan w:val="2"/>
            <w:tcBorders>
              <w:bottom w:val="single" w:sz="4" w:space="0" w:color="00B050"/>
            </w:tcBorders>
            <w:shd w:val="clear" w:color="auto" w:fill="00B050"/>
            <w:tcMar>
              <w:left w:w="85" w:type="dxa"/>
              <w:right w:w="85" w:type="dxa"/>
            </w:tcMar>
            <w:vAlign w:val="center"/>
          </w:tcPr>
          <w:p w14:paraId="29274B54" w14:textId="0138155B" w:rsidR="00FA08D1" w:rsidRPr="00E81269" w:rsidRDefault="00FA08D1" w:rsidP="00A043FC">
            <w:pPr>
              <w:numPr>
                <w:ilvl w:val="0"/>
                <w:numId w:val="0"/>
              </w:numPr>
              <w:spacing w:after="120"/>
              <w:jc w:val="center"/>
              <w:rPr>
                <w:rFonts w:ascii="Gill Sans Nova" w:hAnsi="Gill Sans Nova"/>
                <w:color w:val="FFFFFF" w:themeColor="background1"/>
                <w:lang w:val="en"/>
              </w:rPr>
            </w:pPr>
            <w:r w:rsidRPr="00E81269">
              <w:rPr>
                <w:rFonts w:ascii="Gill Sans Nova" w:hAnsi="Gill Sans Nova"/>
                <w:color w:val="FFFFFF" w:themeColor="background1"/>
                <w:sz w:val="24"/>
                <w:lang w:val="en"/>
              </w:rPr>
              <w:t>Change from 2022/23 baseline</w:t>
            </w:r>
          </w:p>
        </w:tc>
      </w:tr>
      <w:tr w:rsidR="00FF3522" w:rsidRPr="001B6EC0" w14:paraId="29BEE668" w14:textId="1A4C1B41" w:rsidTr="52E7B01D">
        <w:trPr>
          <w:trHeight w:val="340"/>
          <w:jc w:val="center"/>
        </w:trPr>
        <w:tc>
          <w:tcPr>
            <w:tcW w:w="3476" w:type="dxa"/>
            <w:tcMar>
              <w:left w:w="85" w:type="dxa"/>
              <w:right w:w="85" w:type="dxa"/>
            </w:tcMar>
            <w:vAlign w:val="center"/>
            <w:hideMark/>
          </w:tcPr>
          <w:p w14:paraId="41A7987D" w14:textId="5BF57FC0" w:rsidR="00FF3522" w:rsidRPr="001B6EC0" w:rsidRDefault="00FF3522" w:rsidP="00FF3522">
            <w:pPr>
              <w:numPr>
                <w:ilvl w:val="0"/>
                <w:numId w:val="0"/>
              </w:numPr>
              <w:spacing w:before="0"/>
              <w:textAlignment w:val="baseline"/>
              <w:rPr>
                <w:szCs w:val="22"/>
                <w:lang w:val="en"/>
              </w:rPr>
            </w:pPr>
            <w:r w:rsidRPr="001B6EC0">
              <w:rPr>
                <w:szCs w:val="22"/>
                <w:lang w:val="en"/>
              </w:rPr>
              <w:t>Transport - Employee commuting</w:t>
            </w:r>
          </w:p>
        </w:tc>
        <w:tc>
          <w:tcPr>
            <w:tcW w:w="1983" w:type="dxa"/>
            <w:tcMar>
              <w:left w:w="85" w:type="dxa"/>
              <w:right w:w="85" w:type="dxa"/>
            </w:tcMar>
            <w:vAlign w:val="center"/>
            <w:hideMark/>
          </w:tcPr>
          <w:p w14:paraId="5591DC3C" w14:textId="24210482" w:rsidR="00FF3522" w:rsidRPr="001B6EC0" w:rsidRDefault="00FF3522" w:rsidP="00FF3522">
            <w:pPr>
              <w:numPr>
                <w:ilvl w:val="0"/>
                <w:numId w:val="0"/>
              </w:numPr>
              <w:spacing w:before="0"/>
              <w:jc w:val="center"/>
              <w:textAlignment w:val="baseline"/>
              <w:rPr>
                <w:szCs w:val="22"/>
                <w:lang w:val="en"/>
              </w:rPr>
            </w:pPr>
            <w:r w:rsidRPr="001B6EC0">
              <w:rPr>
                <w:szCs w:val="22"/>
                <w:lang w:val="en"/>
              </w:rPr>
              <w:t>802</w:t>
            </w:r>
          </w:p>
        </w:tc>
        <w:tc>
          <w:tcPr>
            <w:tcW w:w="1984" w:type="dxa"/>
            <w:tcBorders>
              <w:right w:val="single" w:sz="4" w:space="0" w:color="00B050"/>
            </w:tcBorders>
            <w:tcMar>
              <w:left w:w="85" w:type="dxa"/>
              <w:right w:w="85" w:type="dxa"/>
            </w:tcMar>
            <w:vAlign w:val="center"/>
            <w:hideMark/>
          </w:tcPr>
          <w:p w14:paraId="57BAC80E" w14:textId="77C03739" w:rsidR="00FF3522" w:rsidRPr="001B6EC0" w:rsidRDefault="00FF3522" w:rsidP="00FF3522">
            <w:pPr>
              <w:numPr>
                <w:ilvl w:val="0"/>
                <w:numId w:val="0"/>
              </w:numPr>
              <w:spacing w:before="0"/>
              <w:jc w:val="center"/>
              <w:textAlignment w:val="baseline"/>
              <w:rPr>
                <w:szCs w:val="22"/>
                <w:lang w:val="en"/>
              </w:rPr>
            </w:pPr>
            <w:r w:rsidRPr="001B6EC0">
              <w:rPr>
                <w:szCs w:val="22"/>
                <w:lang w:val="en"/>
              </w:rPr>
              <w:t>792</w:t>
            </w:r>
          </w:p>
        </w:tc>
        <w:tc>
          <w:tcPr>
            <w:tcW w:w="768" w:type="dxa"/>
            <w:tcBorders>
              <w:top w:val="single" w:sz="4" w:space="0" w:color="00B050"/>
              <w:left w:val="single" w:sz="4" w:space="0" w:color="00B050"/>
              <w:bottom w:val="single" w:sz="4" w:space="0" w:color="00B050"/>
              <w:right w:val="nil"/>
            </w:tcBorders>
            <w:tcMar>
              <w:left w:w="85" w:type="dxa"/>
              <w:right w:w="85" w:type="dxa"/>
            </w:tcMar>
            <w:vAlign w:val="center"/>
            <w:hideMark/>
          </w:tcPr>
          <w:p w14:paraId="3399AE42" w14:textId="6B3D3688" w:rsidR="00FF3522" w:rsidRPr="00983F82" w:rsidRDefault="00FF3522" w:rsidP="00FF3522">
            <w:pPr>
              <w:pStyle w:val="ListBullet"/>
              <w:numPr>
                <w:ilvl w:val="0"/>
                <w:numId w:val="0"/>
              </w:numPr>
              <w:ind w:left="360"/>
              <w:rPr>
                <w:lang w:val="en-GB"/>
              </w:rPr>
            </w:pPr>
            <w:r w:rsidRPr="00D444D1">
              <w:rPr>
                <w:rFonts w:ascii="Wingdings" w:eastAsia="Wingdings" w:hAnsi="Wingdings" w:cs="Wingdings"/>
                <w:color w:val="00B050"/>
                <w:lang w:val="en-GB"/>
              </w:rPr>
              <w:t>î</w:t>
            </w:r>
            <w:r w:rsidRPr="00D444D1">
              <w:rPr>
                <w:color w:val="00B050"/>
                <w:lang w:val="en-GB"/>
              </w:rPr>
              <w:t xml:space="preserve"> </w:t>
            </w:r>
            <w:r w:rsidRPr="00983F82">
              <w:rPr>
                <w:lang w:val="en-GB"/>
              </w:rPr>
              <w:t xml:space="preserve"> </w:t>
            </w:r>
          </w:p>
        </w:tc>
        <w:tc>
          <w:tcPr>
            <w:tcW w:w="1650" w:type="dxa"/>
            <w:tcBorders>
              <w:top w:val="single" w:sz="4" w:space="0" w:color="00B050"/>
              <w:left w:val="nil"/>
              <w:bottom w:val="single" w:sz="4" w:space="0" w:color="00B050"/>
              <w:right w:val="single" w:sz="4" w:space="0" w:color="00B050"/>
            </w:tcBorders>
            <w:vAlign w:val="bottom"/>
          </w:tcPr>
          <w:p w14:paraId="74BE5238" w14:textId="2F76B91B" w:rsidR="00FF3522" w:rsidRPr="00983F82" w:rsidRDefault="00FF3522" w:rsidP="00FF3522">
            <w:pPr>
              <w:pStyle w:val="ListBullet"/>
              <w:numPr>
                <w:ilvl w:val="0"/>
                <w:numId w:val="0"/>
              </w:numPr>
              <w:ind w:left="360"/>
              <w:rPr>
                <w:szCs w:val="22"/>
              </w:rPr>
            </w:pPr>
            <w:r w:rsidRPr="00983F82">
              <w:rPr>
                <w:szCs w:val="22"/>
              </w:rPr>
              <w:t>-1.25%</w:t>
            </w:r>
          </w:p>
        </w:tc>
      </w:tr>
      <w:tr w:rsidR="00FF3522" w:rsidRPr="001B6EC0" w14:paraId="7BEBB5E5" w14:textId="450F451E" w:rsidTr="52E7B01D">
        <w:trPr>
          <w:trHeight w:val="417"/>
          <w:jc w:val="center"/>
        </w:trPr>
        <w:tc>
          <w:tcPr>
            <w:tcW w:w="3476" w:type="dxa"/>
            <w:tcMar>
              <w:left w:w="85" w:type="dxa"/>
              <w:right w:w="85" w:type="dxa"/>
            </w:tcMar>
            <w:vAlign w:val="center"/>
            <w:hideMark/>
          </w:tcPr>
          <w:p w14:paraId="79763E8A" w14:textId="7CD51FB3" w:rsidR="00FF3522" w:rsidRPr="001B6EC0" w:rsidRDefault="00FF3522" w:rsidP="00FF3522">
            <w:pPr>
              <w:numPr>
                <w:ilvl w:val="0"/>
                <w:numId w:val="0"/>
              </w:numPr>
              <w:spacing w:before="0"/>
              <w:textAlignment w:val="baseline"/>
              <w:rPr>
                <w:szCs w:val="22"/>
                <w:lang w:val="en"/>
              </w:rPr>
            </w:pPr>
            <w:r w:rsidRPr="001B6EC0">
              <w:rPr>
                <w:szCs w:val="22"/>
                <w:lang w:val="en"/>
              </w:rPr>
              <w:t>Transport - School transport</w:t>
            </w:r>
          </w:p>
        </w:tc>
        <w:tc>
          <w:tcPr>
            <w:tcW w:w="1983" w:type="dxa"/>
            <w:tcMar>
              <w:left w:w="85" w:type="dxa"/>
              <w:right w:w="85" w:type="dxa"/>
            </w:tcMar>
            <w:vAlign w:val="center"/>
            <w:hideMark/>
          </w:tcPr>
          <w:p w14:paraId="484A3263" w14:textId="07B138D1" w:rsidR="00FF3522" w:rsidRPr="001B6EC0" w:rsidRDefault="00FF3522" w:rsidP="00FF3522">
            <w:pPr>
              <w:numPr>
                <w:ilvl w:val="0"/>
                <w:numId w:val="0"/>
              </w:numPr>
              <w:spacing w:before="0"/>
              <w:jc w:val="center"/>
              <w:textAlignment w:val="baseline"/>
              <w:rPr>
                <w:szCs w:val="22"/>
                <w:lang w:val="en"/>
              </w:rPr>
            </w:pPr>
            <w:r w:rsidRPr="001B6EC0">
              <w:rPr>
                <w:szCs w:val="22"/>
                <w:lang w:val="en"/>
              </w:rPr>
              <w:t>548</w:t>
            </w:r>
          </w:p>
        </w:tc>
        <w:tc>
          <w:tcPr>
            <w:tcW w:w="1984" w:type="dxa"/>
            <w:tcMar>
              <w:left w:w="85" w:type="dxa"/>
              <w:right w:w="85" w:type="dxa"/>
            </w:tcMar>
            <w:vAlign w:val="center"/>
            <w:hideMark/>
          </w:tcPr>
          <w:p w14:paraId="617BDC5A" w14:textId="2DCD6DA4" w:rsidR="00FF3522" w:rsidRPr="001B6EC0" w:rsidRDefault="00FF3522" w:rsidP="00FF3522">
            <w:pPr>
              <w:numPr>
                <w:ilvl w:val="0"/>
                <w:numId w:val="0"/>
              </w:numPr>
              <w:spacing w:before="0"/>
              <w:jc w:val="center"/>
              <w:textAlignment w:val="baseline"/>
              <w:rPr>
                <w:szCs w:val="22"/>
                <w:lang w:val="en"/>
              </w:rPr>
            </w:pPr>
            <w:r w:rsidRPr="001B6EC0">
              <w:rPr>
                <w:szCs w:val="22"/>
                <w:lang w:val="en"/>
              </w:rPr>
              <w:t>615</w:t>
            </w:r>
          </w:p>
        </w:tc>
        <w:tc>
          <w:tcPr>
            <w:tcW w:w="768" w:type="dxa"/>
            <w:tcBorders>
              <w:top w:val="single" w:sz="4" w:space="0" w:color="00B050"/>
              <w:bottom w:val="single" w:sz="4" w:space="0" w:color="00B050"/>
              <w:right w:val="nil"/>
            </w:tcBorders>
            <w:tcMar>
              <w:left w:w="85" w:type="dxa"/>
              <w:right w:w="85" w:type="dxa"/>
            </w:tcMar>
            <w:vAlign w:val="center"/>
            <w:hideMark/>
          </w:tcPr>
          <w:p w14:paraId="67C1411C" w14:textId="74F27338" w:rsidR="00FF3522" w:rsidRPr="00983F82" w:rsidRDefault="00FF3522" w:rsidP="00FF3522">
            <w:pPr>
              <w:pStyle w:val="ListBullet"/>
              <w:numPr>
                <w:ilvl w:val="0"/>
                <w:numId w:val="0"/>
              </w:numPr>
              <w:ind w:left="360"/>
              <w:rPr>
                <w:lang w:val="en-GB"/>
              </w:rPr>
            </w:pPr>
            <w:r w:rsidRPr="00E81269">
              <w:rPr>
                <w:rFonts w:ascii="Wingdings" w:eastAsia="Wingdings" w:hAnsi="Wingdings" w:cs="Wingdings"/>
                <w:color w:val="FFC000"/>
                <w:lang w:val="en-GB"/>
              </w:rPr>
              <w:t>ì</w:t>
            </w:r>
          </w:p>
        </w:tc>
        <w:tc>
          <w:tcPr>
            <w:tcW w:w="1650" w:type="dxa"/>
            <w:tcBorders>
              <w:top w:val="single" w:sz="4" w:space="0" w:color="00B050"/>
              <w:left w:val="nil"/>
              <w:bottom w:val="single" w:sz="4" w:space="0" w:color="00B050"/>
            </w:tcBorders>
            <w:vAlign w:val="bottom"/>
          </w:tcPr>
          <w:p w14:paraId="75DB79EB" w14:textId="78A81DB7" w:rsidR="00FF3522" w:rsidRPr="00983F82" w:rsidRDefault="00FF3522" w:rsidP="00FF3522">
            <w:pPr>
              <w:pStyle w:val="ListBullet"/>
              <w:numPr>
                <w:ilvl w:val="0"/>
                <w:numId w:val="0"/>
              </w:numPr>
              <w:ind w:left="360"/>
              <w:rPr>
                <w:szCs w:val="22"/>
              </w:rPr>
            </w:pPr>
            <w:r w:rsidRPr="00983F82">
              <w:rPr>
                <w:szCs w:val="22"/>
              </w:rPr>
              <w:t>12.23%</w:t>
            </w:r>
          </w:p>
        </w:tc>
      </w:tr>
      <w:tr w:rsidR="00FF3522" w:rsidRPr="001B6EC0" w14:paraId="30EAC2D8" w14:textId="59425FE7" w:rsidTr="52E7B01D">
        <w:trPr>
          <w:trHeight w:val="362"/>
          <w:jc w:val="center"/>
        </w:trPr>
        <w:tc>
          <w:tcPr>
            <w:tcW w:w="3476" w:type="dxa"/>
            <w:tcMar>
              <w:left w:w="85" w:type="dxa"/>
              <w:right w:w="85" w:type="dxa"/>
            </w:tcMar>
            <w:vAlign w:val="center"/>
            <w:hideMark/>
          </w:tcPr>
          <w:p w14:paraId="5D2F9C92" w14:textId="568C7F09" w:rsidR="00FF3522" w:rsidRPr="001B6EC0" w:rsidRDefault="00FF3522" w:rsidP="00FF3522">
            <w:pPr>
              <w:numPr>
                <w:ilvl w:val="0"/>
                <w:numId w:val="0"/>
              </w:numPr>
              <w:spacing w:before="0"/>
              <w:textAlignment w:val="baseline"/>
              <w:rPr>
                <w:szCs w:val="22"/>
                <w:lang w:val="en"/>
              </w:rPr>
            </w:pPr>
            <w:r w:rsidRPr="001B6EC0">
              <w:rPr>
                <w:szCs w:val="22"/>
                <w:lang w:val="en"/>
              </w:rPr>
              <w:t xml:space="preserve">Transport - Business travel </w:t>
            </w:r>
          </w:p>
        </w:tc>
        <w:tc>
          <w:tcPr>
            <w:tcW w:w="1983" w:type="dxa"/>
            <w:tcMar>
              <w:left w:w="85" w:type="dxa"/>
              <w:right w:w="85" w:type="dxa"/>
            </w:tcMar>
            <w:vAlign w:val="center"/>
            <w:hideMark/>
          </w:tcPr>
          <w:p w14:paraId="06968348" w14:textId="222AA4D5" w:rsidR="00FF3522" w:rsidRPr="001B6EC0" w:rsidRDefault="00FF3522" w:rsidP="00FF3522">
            <w:pPr>
              <w:numPr>
                <w:ilvl w:val="0"/>
                <w:numId w:val="0"/>
              </w:numPr>
              <w:spacing w:before="0"/>
              <w:jc w:val="center"/>
              <w:textAlignment w:val="baseline"/>
              <w:rPr>
                <w:szCs w:val="22"/>
                <w:lang w:val="en"/>
              </w:rPr>
            </w:pPr>
            <w:r w:rsidRPr="001B6EC0">
              <w:rPr>
                <w:szCs w:val="22"/>
                <w:lang w:val="en"/>
              </w:rPr>
              <w:t>220</w:t>
            </w:r>
          </w:p>
        </w:tc>
        <w:tc>
          <w:tcPr>
            <w:tcW w:w="1984" w:type="dxa"/>
            <w:tcMar>
              <w:left w:w="85" w:type="dxa"/>
              <w:right w:w="85" w:type="dxa"/>
            </w:tcMar>
            <w:vAlign w:val="center"/>
            <w:hideMark/>
          </w:tcPr>
          <w:p w14:paraId="57370665" w14:textId="44DBA7EE" w:rsidR="00FF3522" w:rsidRPr="001B6EC0" w:rsidRDefault="00FF3522" w:rsidP="00FF3522">
            <w:pPr>
              <w:numPr>
                <w:ilvl w:val="0"/>
                <w:numId w:val="0"/>
              </w:numPr>
              <w:spacing w:before="0"/>
              <w:jc w:val="center"/>
              <w:textAlignment w:val="baseline"/>
              <w:rPr>
                <w:szCs w:val="22"/>
                <w:lang w:val="en"/>
              </w:rPr>
            </w:pPr>
            <w:r w:rsidRPr="001B6EC0">
              <w:rPr>
                <w:szCs w:val="22"/>
                <w:lang w:val="en"/>
              </w:rPr>
              <w:t>202</w:t>
            </w:r>
          </w:p>
        </w:tc>
        <w:tc>
          <w:tcPr>
            <w:tcW w:w="768" w:type="dxa"/>
            <w:tcBorders>
              <w:bottom w:val="single" w:sz="4" w:space="0" w:color="00B050"/>
              <w:right w:val="nil"/>
            </w:tcBorders>
            <w:tcMar>
              <w:left w:w="85" w:type="dxa"/>
              <w:right w:w="85" w:type="dxa"/>
            </w:tcMar>
            <w:vAlign w:val="center"/>
            <w:hideMark/>
          </w:tcPr>
          <w:p w14:paraId="74FD3518" w14:textId="00AD2A32" w:rsidR="00FF3522" w:rsidRPr="00983F82" w:rsidRDefault="00FF3522" w:rsidP="00FF3522">
            <w:pPr>
              <w:pStyle w:val="ListBullet"/>
              <w:numPr>
                <w:ilvl w:val="0"/>
                <w:numId w:val="0"/>
              </w:numPr>
              <w:ind w:left="360"/>
              <w:rPr>
                <w:lang w:val="en-GB"/>
              </w:rPr>
            </w:pPr>
            <w:r w:rsidRPr="00E81269">
              <w:rPr>
                <w:rFonts w:ascii="Wingdings" w:eastAsia="Wingdings" w:hAnsi="Wingdings" w:cs="Wingdings"/>
                <w:color w:val="00B050"/>
                <w:lang w:val="en-GB"/>
              </w:rPr>
              <w:t>î</w:t>
            </w:r>
          </w:p>
        </w:tc>
        <w:tc>
          <w:tcPr>
            <w:tcW w:w="1650" w:type="dxa"/>
            <w:tcBorders>
              <w:left w:val="nil"/>
              <w:bottom w:val="single" w:sz="4" w:space="0" w:color="00B050"/>
            </w:tcBorders>
            <w:vAlign w:val="bottom"/>
          </w:tcPr>
          <w:p w14:paraId="6266186D" w14:textId="6488FEAC" w:rsidR="00FF3522" w:rsidRPr="00983F82" w:rsidRDefault="00FF3522" w:rsidP="00FF3522">
            <w:pPr>
              <w:pStyle w:val="ListBullet"/>
              <w:numPr>
                <w:ilvl w:val="0"/>
                <w:numId w:val="0"/>
              </w:numPr>
              <w:ind w:left="360"/>
              <w:rPr>
                <w:szCs w:val="22"/>
              </w:rPr>
            </w:pPr>
            <w:r w:rsidRPr="00983F82">
              <w:rPr>
                <w:szCs w:val="22"/>
              </w:rPr>
              <w:t>-8.18%</w:t>
            </w:r>
          </w:p>
        </w:tc>
      </w:tr>
      <w:tr w:rsidR="00FF3522" w:rsidRPr="001B6EC0" w14:paraId="3EDD23B4" w14:textId="4E04C1B0" w:rsidTr="52E7B01D">
        <w:trPr>
          <w:trHeight w:val="417"/>
          <w:jc w:val="center"/>
        </w:trPr>
        <w:tc>
          <w:tcPr>
            <w:tcW w:w="3476" w:type="dxa"/>
            <w:tcMar>
              <w:left w:w="85" w:type="dxa"/>
              <w:right w:w="85" w:type="dxa"/>
            </w:tcMar>
            <w:vAlign w:val="center"/>
            <w:hideMark/>
          </w:tcPr>
          <w:p w14:paraId="277C5CB8" w14:textId="5A1753A6" w:rsidR="00FF3522" w:rsidRPr="001B6EC0" w:rsidRDefault="00FF3522" w:rsidP="00FF3522">
            <w:pPr>
              <w:numPr>
                <w:ilvl w:val="0"/>
                <w:numId w:val="0"/>
              </w:numPr>
              <w:spacing w:before="0"/>
              <w:textAlignment w:val="baseline"/>
              <w:rPr>
                <w:szCs w:val="22"/>
                <w:lang w:val="en"/>
              </w:rPr>
            </w:pPr>
            <w:r w:rsidRPr="001B6EC0">
              <w:rPr>
                <w:szCs w:val="22"/>
                <w:lang w:val="en"/>
              </w:rPr>
              <w:t xml:space="preserve">Transport </w:t>
            </w:r>
            <w:r w:rsidR="00630A69">
              <w:rPr>
                <w:szCs w:val="22"/>
                <w:lang w:val="en"/>
              </w:rPr>
              <w:t>–</w:t>
            </w:r>
            <w:r w:rsidRPr="001B6EC0">
              <w:rPr>
                <w:szCs w:val="22"/>
                <w:lang w:val="en"/>
              </w:rPr>
              <w:t xml:space="preserve"> Fleet</w:t>
            </w:r>
          </w:p>
        </w:tc>
        <w:tc>
          <w:tcPr>
            <w:tcW w:w="1983" w:type="dxa"/>
            <w:tcMar>
              <w:left w:w="85" w:type="dxa"/>
              <w:right w:w="85" w:type="dxa"/>
            </w:tcMar>
            <w:vAlign w:val="center"/>
            <w:hideMark/>
          </w:tcPr>
          <w:p w14:paraId="68FDC8A5" w14:textId="5C8BDC5D" w:rsidR="00FF3522" w:rsidRPr="001B6EC0" w:rsidRDefault="00FF3522" w:rsidP="00FF3522">
            <w:pPr>
              <w:numPr>
                <w:ilvl w:val="0"/>
                <w:numId w:val="0"/>
              </w:numPr>
              <w:spacing w:before="0"/>
              <w:jc w:val="center"/>
              <w:textAlignment w:val="baseline"/>
              <w:rPr>
                <w:szCs w:val="22"/>
                <w:lang w:val="en"/>
              </w:rPr>
            </w:pPr>
            <w:r w:rsidRPr="001B6EC0">
              <w:rPr>
                <w:szCs w:val="22"/>
                <w:lang w:val="en"/>
              </w:rPr>
              <w:t>2,023</w:t>
            </w:r>
          </w:p>
        </w:tc>
        <w:tc>
          <w:tcPr>
            <w:tcW w:w="1984" w:type="dxa"/>
            <w:tcMar>
              <w:left w:w="85" w:type="dxa"/>
              <w:right w:w="85" w:type="dxa"/>
            </w:tcMar>
            <w:vAlign w:val="center"/>
            <w:hideMark/>
          </w:tcPr>
          <w:p w14:paraId="6B075EEB" w14:textId="0183782A" w:rsidR="00FF3522" w:rsidRPr="001B6EC0" w:rsidRDefault="00FF3522" w:rsidP="00FF3522">
            <w:pPr>
              <w:numPr>
                <w:ilvl w:val="0"/>
                <w:numId w:val="0"/>
              </w:numPr>
              <w:spacing w:before="0"/>
              <w:jc w:val="center"/>
              <w:textAlignment w:val="baseline"/>
              <w:rPr>
                <w:szCs w:val="22"/>
                <w:lang w:val="en"/>
              </w:rPr>
            </w:pPr>
            <w:r w:rsidRPr="001B6EC0">
              <w:rPr>
                <w:szCs w:val="22"/>
                <w:lang w:val="en"/>
              </w:rPr>
              <w:t>2,083</w:t>
            </w:r>
          </w:p>
        </w:tc>
        <w:tc>
          <w:tcPr>
            <w:tcW w:w="768" w:type="dxa"/>
            <w:tcBorders>
              <w:bottom w:val="single" w:sz="4" w:space="0" w:color="00B050"/>
              <w:right w:val="nil"/>
            </w:tcBorders>
            <w:tcMar>
              <w:left w:w="85" w:type="dxa"/>
              <w:right w:w="85" w:type="dxa"/>
            </w:tcMar>
            <w:vAlign w:val="center"/>
            <w:hideMark/>
          </w:tcPr>
          <w:p w14:paraId="14D15CAD" w14:textId="683778FB" w:rsidR="00FF3522" w:rsidRPr="00E81269" w:rsidRDefault="00FF3522" w:rsidP="00FF3522">
            <w:pPr>
              <w:pStyle w:val="ListBullet"/>
              <w:numPr>
                <w:ilvl w:val="0"/>
                <w:numId w:val="0"/>
              </w:numPr>
              <w:ind w:left="360"/>
              <w:rPr>
                <w:color w:val="FFC000"/>
                <w:lang w:val="en-GB"/>
              </w:rPr>
            </w:pPr>
            <w:r w:rsidRPr="00E81269">
              <w:rPr>
                <w:rFonts w:ascii="Wingdings" w:eastAsia="Wingdings" w:hAnsi="Wingdings" w:cs="Wingdings"/>
                <w:color w:val="FFC000"/>
                <w:lang w:val="en-GB"/>
              </w:rPr>
              <w:t>ì</w:t>
            </w:r>
          </w:p>
        </w:tc>
        <w:tc>
          <w:tcPr>
            <w:tcW w:w="1650" w:type="dxa"/>
            <w:tcBorders>
              <w:left w:val="nil"/>
              <w:bottom w:val="single" w:sz="4" w:space="0" w:color="00B050"/>
            </w:tcBorders>
            <w:vAlign w:val="bottom"/>
          </w:tcPr>
          <w:p w14:paraId="27875235" w14:textId="769EFCCD" w:rsidR="00FF3522" w:rsidRPr="00983F82" w:rsidRDefault="00FF3522" w:rsidP="00FF3522">
            <w:pPr>
              <w:pStyle w:val="ListBullet"/>
              <w:numPr>
                <w:ilvl w:val="0"/>
                <w:numId w:val="0"/>
              </w:numPr>
              <w:ind w:left="360"/>
              <w:rPr>
                <w:szCs w:val="22"/>
              </w:rPr>
            </w:pPr>
            <w:r w:rsidRPr="00983F82">
              <w:rPr>
                <w:szCs w:val="22"/>
              </w:rPr>
              <w:t>2.97%</w:t>
            </w:r>
          </w:p>
        </w:tc>
      </w:tr>
      <w:tr w:rsidR="00FF3522" w:rsidRPr="001B6EC0" w14:paraId="75D5DCB0" w14:textId="6873491E" w:rsidTr="52E7B01D">
        <w:trPr>
          <w:trHeight w:val="417"/>
          <w:jc w:val="center"/>
        </w:trPr>
        <w:tc>
          <w:tcPr>
            <w:tcW w:w="3476" w:type="dxa"/>
            <w:tcMar>
              <w:left w:w="85" w:type="dxa"/>
              <w:right w:w="85" w:type="dxa"/>
            </w:tcMar>
            <w:vAlign w:val="center"/>
            <w:hideMark/>
          </w:tcPr>
          <w:p w14:paraId="1A3A8EEE" w14:textId="7437D245" w:rsidR="00FF3522" w:rsidRPr="001B6EC0" w:rsidRDefault="00FF3522" w:rsidP="52E7B01D">
            <w:pPr>
              <w:spacing w:before="0"/>
              <w:textAlignment w:val="baseline"/>
              <w:rPr>
                <w:lang w:val="en-US"/>
              </w:rPr>
            </w:pPr>
            <w:r w:rsidRPr="52E7B01D">
              <w:rPr>
                <w:lang w:val="en-US"/>
              </w:rPr>
              <w:t xml:space="preserve">Street </w:t>
            </w:r>
            <w:r w:rsidR="000B6124" w:rsidRPr="52E7B01D">
              <w:rPr>
                <w:lang w:val="en-US"/>
              </w:rPr>
              <w:t>signaling</w:t>
            </w:r>
          </w:p>
        </w:tc>
        <w:tc>
          <w:tcPr>
            <w:tcW w:w="1983" w:type="dxa"/>
            <w:tcMar>
              <w:left w:w="85" w:type="dxa"/>
              <w:right w:w="85" w:type="dxa"/>
            </w:tcMar>
            <w:vAlign w:val="center"/>
            <w:hideMark/>
          </w:tcPr>
          <w:p w14:paraId="538A107C" w14:textId="51862933" w:rsidR="00FF3522" w:rsidRPr="001B6EC0" w:rsidRDefault="00FF3522" w:rsidP="00FF3522">
            <w:pPr>
              <w:numPr>
                <w:ilvl w:val="0"/>
                <w:numId w:val="0"/>
              </w:numPr>
              <w:spacing w:before="0"/>
              <w:jc w:val="center"/>
              <w:textAlignment w:val="baseline"/>
              <w:rPr>
                <w:szCs w:val="22"/>
                <w:lang w:val="en"/>
              </w:rPr>
            </w:pPr>
            <w:r w:rsidRPr="001B6EC0">
              <w:rPr>
                <w:szCs w:val="22"/>
                <w:lang w:val="en"/>
              </w:rPr>
              <w:t>234</w:t>
            </w:r>
          </w:p>
        </w:tc>
        <w:tc>
          <w:tcPr>
            <w:tcW w:w="1984" w:type="dxa"/>
            <w:tcMar>
              <w:left w:w="85" w:type="dxa"/>
              <w:right w:w="85" w:type="dxa"/>
            </w:tcMar>
            <w:vAlign w:val="center"/>
            <w:hideMark/>
          </w:tcPr>
          <w:p w14:paraId="72A73E95" w14:textId="23740C75" w:rsidR="00FF3522" w:rsidRPr="001B6EC0" w:rsidRDefault="00FF3522" w:rsidP="00FF3522">
            <w:pPr>
              <w:numPr>
                <w:ilvl w:val="0"/>
                <w:numId w:val="0"/>
              </w:numPr>
              <w:spacing w:before="0"/>
              <w:jc w:val="center"/>
              <w:textAlignment w:val="baseline"/>
              <w:rPr>
                <w:szCs w:val="22"/>
                <w:lang w:val="en"/>
              </w:rPr>
            </w:pPr>
            <w:r w:rsidRPr="001B6EC0">
              <w:rPr>
                <w:szCs w:val="22"/>
                <w:lang w:val="en"/>
              </w:rPr>
              <w:t>250</w:t>
            </w:r>
          </w:p>
        </w:tc>
        <w:tc>
          <w:tcPr>
            <w:tcW w:w="768" w:type="dxa"/>
            <w:tcBorders>
              <w:bottom w:val="single" w:sz="4" w:space="0" w:color="00B050"/>
              <w:right w:val="nil"/>
            </w:tcBorders>
            <w:tcMar>
              <w:left w:w="85" w:type="dxa"/>
              <w:right w:w="85" w:type="dxa"/>
            </w:tcMar>
            <w:vAlign w:val="center"/>
            <w:hideMark/>
          </w:tcPr>
          <w:p w14:paraId="1518DCA8" w14:textId="6D22193A" w:rsidR="00FF3522" w:rsidRPr="00E81269" w:rsidRDefault="00FF3522" w:rsidP="00FF3522">
            <w:pPr>
              <w:pStyle w:val="ListBullet"/>
              <w:numPr>
                <w:ilvl w:val="0"/>
                <w:numId w:val="0"/>
              </w:numPr>
              <w:ind w:left="360"/>
              <w:rPr>
                <w:color w:val="FFC000"/>
                <w:lang w:val="en-GB"/>
              </w:rPr>
            </w:pPr>
            <w:r w:rsidRPr="00E81269">
              <w:rPr>
                <w:rFonts w:ascii="Wingdings" w:eastAsia="Wingdings" w:hAnsi="Wingdings" w:cs="Wingdings"/>
                <w:color w:val="FFC000"/>
                <w:lang w:val="en-GB"/>
              </w:rPr>
              <w:t>ì</w:t>
            </w:r>
          </w:p>
        </w:tc>
        <w:tc>
          <w:tcPr>
            <w:tcW w:w="1650" w:type="dxa"/>
            <w:tcBorders>
              <w:left w:val="nil"/>
              <w:bottom w:val="single" w:sz="4" w:space="0" w:color="00B050"/>
            </w:tcBorders>
            <w:vAlign w:val="bottom"/>
          </w:tcPr>
          <w:p w14:paraId="29C8E6A8" w14:textId="4C552907" w:rsidR="00FF3522" w:rsidRPr="00983F82" w:rsidRDefault="00FF3522" w:rsidP="00FF3522">
            <w:pPr>
              <w:pStyle w:val="ListBullet"/>
              <w:numPr>
                <w:ilvl w:val="0"/>
                <w:numId w:val="0"/>
              </w:numPr>
              <w:ind w:left="360"/>
              <w:rPr>
                <w:szCs w:val="22"/>
              </w:rPr>
            </w:pPr>
            <w:r w:rsidRPr="00983F82">
              <w:rPr>
                <w:szCs w:val="22"/>
              </w:rPr>
              <w:t>6.84%</w:t>
            </w:r>
          </w:p>
        </w:tc>
      </w:tr>
      <w:tr w:rsidR="00FF3522" w:rsidRPr="001B6EC0" w14:paraId="222B710B" w14:textId="3B95806C" w:rsidTr="52E7B01D">
        <w:trPr>
          <w:trHeight w:val="417"/>
          <w:jc w:val="center"/>
        </w:trPr>
        <w:tc>
          <w:tcPr>
            <w:tcW w:w="3476" w:type="dxa"/>
            <w:tcMar>
              <w:left w:w="85" w:type="dxa"/>
              <w:right w:w="85" w:type="dxa"/>
            </w:tcMar>
            <w:vAlign w:val="center"/>
            <w:hideMark/>
          </w:tcPr>
          <w:p w14:paraId="5D15717A" w14:textId="2B2917D2" w:rsidR="00FF3522" w:rsidRPr="001B6EC0" w:rsidRDefault="00FF3522" w:rsidP="00FF3522">
            <w:pPr>
              <w:numPr>
                <w:ilvl w:val="0"/>
                <w:numId w:val="0"/>
              </w:numPr>
              <w:spacing w:before="0"/>
              <w:textAlignment w:val="baseline"/>
              <w:rPr>
                <w:szCs w:val="22"/>
                <w:lang w:val="en"/>
              </w:rPr>
            </w:pPr>
            <w:r w:rsidRPr="001B6EC0">
              <w:rPr>
                <w:szCs w:val="22"/>
                <w:lang w:val="en"/>
              </w:rPr>
              <w:t>Street lighting</w:t>
            </w:r>
          </w:p>
        </w:tc>
        <w:tc>
          <w:tcPr>
            <w:tcW w:w="1983" w:type="dxa"/>
            <w:tcMar>
              <w:left w:w="85" w:type="dxa"/>
              <w:right w:w="85" w:type="dxa"/>
            </w:tcMar>
            <w:vAlign w:val="center"/>
            <w:hideMark/>
          </w:tcPr>
          <w:p w14:paraId="1AAF35AE" w14:textId="6C8DAB16" w:rsidR="00FF3522" w:rsidRPr="001B6EC0" w:rsidRDefault="00FF3522" w:rsidP="00FF3522">
            <w:pPr>
              <w:numPr>
                <w:ilvl w:val="0"/>
                <w:numId w:val="0"/>
              </w:numPr>
              <w:spacing w:before="0"/>
              <w:jc w:val="center"/>
              <w:textAlignment w:val="baseline"/>
              <w:rPr>
                <w:szCs w:val="22"/>
                <w:lang w:val="en"/>
              </w:rPr>
            </w:pPr>
            <w:r w:rsidRPr="001B6EC0">
              <w:rPr>
                <w:szCs w:val="22"/>
                <w:lang w:val="en"/>
              </w:rPr>
              <w:t>1,478</w:t>
            </w:r>
          </w:p>
        </w:tc>
        <w:tc>
          <w:tcPr>
            <w:tcW w:w="1984" w:type="dxa"/>
            <w:tcMar>
              <w:left w:w="85" w:type="dxa"/>
              <w:right w:w="85" w:type="dxa"/>
            </w:tcMar>
            <w:vAlign w:val="center"/>
            <w:hideMark/>
          </w:tcPr>
          <w:p w14:paraId="4EAB1E50" w14:textId="402FEC9A" w:rsidR="00FF3522" w:rsidRPr="001B6EC0" w:rsidRDefault="00FF3522" w:rsidP="00FF3522">
            <w:pPr>
              <w:numPr>
                <w:ilvl w:val="0"/>
                <w:numId w:val="0"/>
              </w:numPr>
              <w:spacing w:before="0"/>
              <w:jc w:val="center"/>
              <w:textAlignment w:val="baseline"/>
              <w:rPr>
                <w:szCs w:val="22"/>
                <w:lang w:val="en"/>
              </w:rPr>
            </w:pPr>
            <w:r w:rsidRPr="001B6EC0">
              <w:rPr>
                <w:szCs w:val="22"/>
                <w:lang w:val="en"/>
              </w:rPr>
              <w:t>1,567</w:t>
            </w:r>
          </w:p>
        </w:tc>
        <w:tc>
          <w:tcPr>
            <w:tcW w:w="768" w:type="dxa"/>
            <w:tcBorders>
              <w:bottom w:val="single" w:sz="4" w:space="0" w:color="00B050"/>
              <w:right w:val="nil"/>
            </w:tcBorders>
            <w:tcMar>
              <w:left w:w="85" w:type="dxa"/>
              <w:right w:w="85" w:type="dxa"/>
            </w:tcMar>
            <w:vAlign w:val="center"/>
            <w:hideMark/>
          </w:tcPr>
          <w:p w14:paraId="15B6D58E" w14:textId="26FA78ED" w:rsidR="00FF3522" w:rsidRPr="00E81269" w:rsidRDefault="00FF3522" w:rsidP="00FF3522">
            <w:pPr>
              <w:pStyle w:val="ListBullet"/>
              <w:numPr>
                <w:ilvl w:val="0"/>
                <w:numId w:val="0"/>
              </w:numPr>
              <w:ind w:left="360"/>
              <w:rPr>
                <w:color w:val="FFC000"/>
                <w:lang w:val="en-GB"/>
              </w:rPr>
            </w:pPr>
            <w:r w:rsidRPr="00E81269">
              <w:rPr>
                <w:rFonts w:ascii="Wingdings" w:eastAsia="Wingdings" w:hAnsi="Wingdings" w:cs="Wingdings"/>
                <w:color w:val="FFC000"/>
                <w:lang w:val="en-GB"/>
              </w:rPr>
              <w:t>ì</w:t>
            </w:r>
          </w:p>
        </w:tc>
        <w:tc>
          <w:tcPr>
            <w:tcW w:w="1650" w:type="dxa"/>
            <w:tcBorders>
              <w:left w:val="nil"/>
              <w:bottom w:val="single" w:sz="4" w:space="0" w:color="00B050"/>
            </w:tcBorders>
            <w:vAlign w:val="bottom"/>
          </w:tcPr>
          <w:p w14:paraId="716C7DE8" w14:textId="7A13C263" w:rsidR="00FF3522" w:rsidRPr="00983F82" w:rsidRDefault="00FF3522" w:rsidP="00FF3522">
            <w:pPr>
              <w:pStyle w:val="ListBullet"/>
              <w:numPr>
                <w:ilvl w:val="0"/>
                <w:numId w:val="0"/>
              </w:numPr>
              <w:ind w:left="360"/>
              <w:rPr>
                <w:szCs w:val="22"/>
              </w:rPr>
            </w:pPr>
            <w:r w:rsidRPr="00983F82">
              <w:rPr>
                <w:szCs w:val="22"/>
              </w:rPr>
              <w:t>6.02%</w:t>
            </w:r>
          </w:p>
        </w:tc>
      </w:tr>
      <w:tr w:rsidR="00FF3522" w:rsidRPr="001B6EC0" w14:paraId="732A8142" w14:textId="4BA3F2A1" w:rsidTr="52E7B01D">
        <w:trPr>
          <w:jc w:val="center"/>
        </w:trPr>
        <w:tc>
          <w:tcPr>
            <w:tcW w:w="3476" w:type="dxa"/>
            <w:tcMar>
              <w:left w:w="85" w:type="dxa"/>
              <w:right w:w="85" w:type="dxa"/>
            </w:tcMar>
            <w:vAlign w:val="center"/>
            <w:hideMark/>
          </w:tcPr>
          <w:p w14:paraId="49CB76D2" w14:textId="742ACC67" w:rsidR="00FF3522" w:rsidRPr="001B6EC0" w:rsidRDefault="00FF3522" w:rsidP="00FF3522">
            <w:pPr>
              <w:numPr>
                <w:ilvl w:val="0"/>
                <w:numId w:val="0"/>
              </w:numPr>
              <w:spacing w:before="0"/>
              <w:textAlignment w:val="baseline"/>
              <w:rPr>
                <w:szCs w:val="22"/>
                <w:lang w:val="en"/>
              </w:rPr>
            </w:pPr>
            <w:r w:rsidRPr="001B6EC0">
              <w:rPr>
                <w:szCs w:val="22"/>
                <w:lang w:val="en"/>
              </w:rPr>
              <w:t xml:space="preserve">Buildings </w:t>
            </w:r>
            <w:r w:rsidR="00630A69">
              <w:rPr>
                <w:szCs w:val="22"/>
                <w:lang w:val="en"/>
              </w:rPr>
              <w:t>–</w:t>
            </w:r>
            <w:r w:rsidRPr="001B6EC0">
              <w:rPr>
                <w:szCs w:val="22"/>
                <w:lang w:val="en"/>
              </w:rPr>
              <w:t xml:space="preserve"> Waste</w:t>
            </w:r>
          </w:p>
        </w:tc>
        <w:tc>
          <w:tcPr>
            <w:tcW w:w="1983" w:type="dxa"/>
            <w:tcMar>
              <w:left w:w="85" w:type="dxa"/>
              <w:right w:w="85" w:type="dxa"/>
            </w:tcMar>
            <w:vAlign w:val="center"/>
            <w:hideMark/>
          </w:tcPr>
          <w:p w14:paraId="1D9A40C4" w14:textId="4651174C" w:rsidR="00FF3522" w:rsidRPr="001B6EC0" w:rsidRDefault="00FF3522" w:rsidP="00FF3522">
            <w:pPr>
              <w:numPr>
                <w:ilvl w:val="0"/>
                <w:numId w:val="0"/>
              </w:numPr>
              <w:spacing w:before="0"/>
              <w:jc w:val="center"/>
              <w:textAlignment w:val="baseline"/>
              <w:rPr>
                <w:szCs w:val="22"/>
                <w:lang w:val="en"/>
              </w:rPr>
            </w:pPr>
            <w:r w:rsidRPr="001B6EC0">
              <w:rPr>
                <w:szCs w:val="22"/>
                <w:lang w:val="en"/>
              </w:rPr>
              <w:t>317</w:t>
            </w:r>
          </w:p>
        </w:tc>
        <w:tc>
          <w:tcPr>
            <w:tcW w:w="1984" w:type="dxa"/>
            <w:tcMar>
              <w:left w:w="85" w:type="dxa"/>
              <w:right w:w="85" w:type="dxa"/>
            </w:tcMar>
            <w:vAlign w:val="center"/>
            <w:hideMark/>
          </w:tcPr>
          <w:p w14:paraId="41B356F3" w14:textId="47CB8F05" w:rsidR="00FF3522" w:rsidRPr="001B6EC0" w:rsidRDefault="00FF3522" w:rsidP="00FF3522">
            <w:pPr>
              <w:numPr>
                <w:ilvl w:val="0"/>
                <w:numId w:val="0"/>
              </w:numPr>
              <w:spacing w:before="0"/>
              <w:jc w:val="center"/>
              <w:textAlignment w:val="baseline"/>
              <w:rPr>
                <w:szCs w:val="22"/>
                <w:lang w:val="en"/>
              </w:rPr>
            </w:pPr>
            <w:r w:rsidRPr="001B6EC0">
              <w:rPr>
                <w:szCs w:val="22"/>
                <w:lang w:val="en"/>
              </w:rPr>
              <w:t>248</w:t>
            </w:r>
          </w:p>
        </w:tc>
        <w:tc>
          <w:tcPr>
            <w:tcW w:w="768" w:type="dxa"/>
            <w:tcBorders>
              <w:bottom w:val="single" w:sz="4" w:space="0" w:color="00B050"/>
              <w:right w:val="nil"/>
            </w:tcBorders>
            <w:tcMar>
              <w:left w:w="85" w:type="dxa"/>
              <w:right w:w="85" w:type="dxa"/>
            </w:tcMar>
            <w:vAlign w:val="center"/>
            <w:hideMark/>
          </w:tcPr>
          <w:p w14:paraId="181B8784" w14:textId="4BD6DED7" w:rsidR="00FF3522" w:rsidRPr="00E81269" w:rsidRDefault="00FF3522" w:rsidP="00FF3522">
            <w:pPr>
              <w:pStyle w:val="ListBullet"/>
              <w:numPr>
                <w:ilvl w:val="0"/>
                <w:numId w:val="0"/>
              </w:numPr>
              <w:ind w:left="360"/>
              <w:rPr>
                <w:rFonts w:ascii="Wingdings" w:eastAsia="Wingdings" w:hAnsi="Wingdings" w:cs="Wingdings"/>
                <w:color w:val="00B050"/>
                <w:lang w:val="en-GB"/>
              </w:rPr>
            </w:pPr>
            <w:r w:rsidRPr="00E81269">
              <w:rPr>
                <w:rFonts w:ascii="Wingdings" w:eastAsia="Wingdings" w:hAnsi="Wingdings" w:cs="Wingdings"/>
                <w:color w:val="00B050"/>
                <w:lang w:val="en-GB"/>
              </w:rPr>
              <w:t>î</w:t>
            </w:r>
          </w:p>
        </w:tc>
        <w:tc>
          <w:tcPr>
            <w:tcW w:w="1650" w:type="dxa"/>
            <w:tcBorders>
              <w:left w:val="nil"/>
              <w:bottom w:val="single" w:sz="4" w:space="0" w:color="00B050"/>
            </w:tcBorders>
            <w:vAlign w:val="bottom"/>
          </w:tcPr>
          <w:p w14:paraId="6B9FEC1E" w14:textId="63154FCA" w:rsidR="00FF3522" w:rsidRPr="00983F82" w:rsidRDefault="00FF3522" w:rsidP="00FF3522">
            <w:pPr>
              <w:pStyle w:val="ListBullet"/>
              <w:numPr>
                <w:ilvl w:val="0"/>
                <w:numId w:val="0"/>
              </w:numPr>
              <w:ind w:left="360"/>
              <w:rPr>
                <w:szCs w:val="22"/>
              </w:rPr>
            </w:pPr>
            <w:r w:rsidRPr="00983F82">
              <w:rPr>
                <w:szCs w:val="22"/>
              </w:rPr>
              <w:t>-21.77%</w:t>
            </w:r>
          </w:p>
        </w:tc>
      </w:tr>
      <w:tr w:rsidR="00FF3522" w:rsidRPr="001B6EC0" w14:paraId="516295B3" w14:textId="52F0A625" w:rsidTr="52E7B01D">
        <w:trPr>
          <w:trHeight w:val="365"/>
          <w:jc w:val="center"/>
        </w:trPr>
        <w:tc>
          <w:tcPr>
            <w:tcW w:w="3476" w:type="dxa"/>
            <w:tcMar>
              <w:left w:w="85" w:type="dxa"/>
              <w:right w:w="85" w:type="dxa"/>
            </w:tcMar>
            <w:vAlign w:val="center"/>
            <w:hideMark/>
          </w:tcPr>
          <w:p w14:paraId="608EC4DC" w14:textId="5DB5A61E" w:rsidR="00FF3522" w:rsidRPr="001B6EC0" w:rsidRDefault="00FF3522" w:rsidP="00FF3522">
            <w:pPr>
              <w:numPr>
                <w:ilvl w:val="0"/>
                <w:numId w:val="0"/>
              </w:numPr>
              <w:spacing w:before="0"/>
              <w:textAlignment w:val="baseline"/>
              <w:rPr>
                <w:szCs w:val="22"/>
                <w:lang w:val="en"/>
              </w:rPr>
            </w:pPr>
            <w:r w:rsidRPr="001B6EC0">
              <w:rPr>
                <w:szCs w:val="22"/>
                <w:lang w:val="en"/>
              </w:rPr>
              <w:t>Buildings - Working from home</w:t>
            </w:r>
          </w:p>
        </w:tc>
        <w:tc>
          <w:tcPr>
            <w:tcW w:w="1983" w:type="dxa"/>
            <w:tcMar>
              <w:left w:w="85" w:type="dxa"/>
              <w:right w:w="85" w:type="dxa"/>
            </w:tcMar>
            <w:vAlign w:val="center"/>
            <w:hideMark/>
          </w:tcPr>
          <w:p w14:paraId="60230DA0" w14:textId="23432F9B" w:rsidR="00FF3522" w:rsidRPr="001B6EC0" w:rsidRDefault="00FF3522" w:rsidP="00FF3522">
            <w:pPr>
              <w:numPr>
                <w:ilvl w:val="0"/>
                <w:numId w:val="0"/>
              </w:numPr>
              <w:spacing w:before="0"/>
              <w:jc w:val="center"/>
              <w:textAlignment w:val="baseline"/>
              <w:rPr>
                <w:szCs w:val="22"/>
                <w:lang w:val="en"/>
              </w:rPr>
            </w:pPr>
            <w:r w:rsidRPr="001B6EC0">
              <w:rPr>
                <w:szCs w:val="22"/>
                <w:lang w:val="en"/>
              </w:rPr>
              <w:t>558</w:t>
            </w:r>
          </w:p>
        </w:tc>
        <w:tc>
          <w:tcPr>
            <w:tcW w:w="1984" w:type="dxa"/>
            <w:tcMar>
              <w:left w:w="85" w:type="dxa"/>
              <w:right w:w="85" w:type="dxa"/>
            </w:tcMar>
            <w:vAlign w:val="center"/>
            <w:hideMark/>
          </w:tcPr>
          <w:p w14:paraId="3BCEADEF" w14:textId="2B765B8A" w:rsidR="00FF3522" w:rsidRPr="001B6EC0" w:rsidRDefault="00FF3522" w:rsidP="00FF3522">
            <w:pPr>
              <w:numPr>
                <w:ilvl w:val="0"/>
                <w:numId w:val="0"/>
              </w:numPr>
              <w:spacing w:before="0"/>
              <w:jc w:val="center"/>
              <w:textAlignment w:val="baseline"/>
              <w:rPr>
                <w:szCs w:val="22"/>
                <w:lang w:val="en"/>
              </w:rPr>
            </w:pPr>
            <w:r w:rsidRPr="001B6EC0">
              <w:rPr>
                <w:szCs w:val="22"/>
                <w:lang w:val="en"/>
              </w:rPr>
              <w:t>547</w:t>
            </w:r>
          </w:p>
        </w:tc>
        <w:tc>
          <w:tcPr>
            <w:tcW w:w="768" w:type="dxa"/>
            <w:tcBorders>
              <w:bottom w:val="single" w:sz="4" w:space="0" w:color="00B050"/>
              <w:right w:val="nil"/>
            </w:tcBorders>
            <w:tcMar>
              <w:left w:w="85" w:type="dxa"/>
              <w:right w:w="85" w:type="dxa"/>
            </w:tcMar>
            <w:vAlign w:val="center"/>
            <w:hideMark/>
          </w:tcPr>
          <w:p w14:paraId="02F37881" w14:textId="55980ADD" w:rsidR="00FF3522" w:rsidRPr="00E81269" w:rsidRDefault="00FF3522" w:rsidP="00FF3522">
            <w:pPr>
              <w:pStyle w:val="ListBullet"/>
              <w:numPr>
                <w:ilvl w:val="0"/>
                <w:numId w:val="0"/>
              </w:numPr>
              <w:ind w:left="360"/>
              <w:rPr>
                <w:rFonts w:ascii="Wingdings" w:eastAsia="Wingdings" w:hAnsi="Wingdings" w:cs="Wingdings"/>
                <w:color w:val="00B050"/>
                <w:lang w:val="en-GB"/>
              </w:rPr>
            </w:pPr>
            <w:r w:rsidRPr="00E81269">
              <w:rPr>
                <w:rFonts w:ascii="Wingdings" w:eastAsia="Wingdings" w:hAnsi="Wingdings" w:cs="Wingdings"/>
                <w:color w:val="00B050"/>
                <w:lang w:val="en-GB"/>
              </w:rPr>
              <w:t>î</w:t>
            </w:r>
          </w:p>
        </w:tc>
        <w:tc>
          <w:tcPr>
            <w:tcW w:w="1650" w:type="dxa"/>
            <w:tcBorders>
              <w:left w:val="nil"/>
              <w:bottom w:val="single" w:sz="4" w:space="0" w:color="00B050"/>
            </w:tcBorders>
            <w:vAlign w:val="bottom"/>
          </w:tcPr>
          <w:p w14:paraId="7522B54D" w14:textId="43A2F417" w:rsidR="00FF3522" w:rsidRPr="00983F82" w:rsidRDefault="00FF3522" w:rsidP="00FF3522">
            <w:pPr>
              <w:pStyle w:val="ListBullet"/>
              <w:numPr>
                <w:ilvl w:val="0"/>
                <w:numId w:val="0"/>
              </w:numPr>
              <w:ind w:left="360"/>
              <w:rPr>
                <w:szCs w:val="22"/>
              </w:rPr>
            </w:pPr>
            <w:r w:rsidRPr="00983F82">
              <w:rPr>
                <w:szCs w:val="22"/>
              </w:rPr>
              <w:t>-1.97%</w:t>
            </w:r>
          </w:p>
        </w:tc>
      </w:tr>
      <w:tr w:rsidR="00FF3522" w:rsidRPr="001B6EC0" w14:paraId="0F4E1118" w14:textId="3952515A" w:rsidTr="52E7B01D">
        <w:trPr>
          <w:trHeight w:val="417"/>
          <w:jc w:val="center"/>
        </w:trPr>
        <w:tc>
          <w:tcPr>
            <w:tcW w:w="3476" w:type="dxa"/>
            <w:tcMar>
              <w:left w:w="85" w:type="dxa"/>
              <w:right w:w="85" w:type="dxa"/>
            </w:tcMar>
            <w:vAlign w:val="center"/>
            <w:hideMark/>
          </w:tcPr>
          <w:p w14:paraId="357F06B6" w14:textId="0D31ECA5" w:rsidR="00FF3522" w:rsidRPr="001B6EC0" w:rsidRDefault="00FF3522" w:rsidP="00FF3522">
            <w:pPr>
              <w:numPr>
                <w:ilvl w:val="0"/>
                <w:numId w:val="0"/>
              </w:numPr>
              <w:spacing w:before="0"/>
              <w:textAlignment w:val="baseline"/>
              <w:rPr>
                <w:szCs w:val="22"/>
                <w:lang w:val="en"/>
              </w:rPr>
            </w:pPr>
            <w:r w:rsidRPr="001B6EC0">
              <w:rPr>
                <w:szCs w:val="22"/>
                <w:lang w:val="en"/>
              </w:rPr>
              <w:t>Buildings - Corporate estate</w:t>
            </w:r>
          </w:p>
        </w:tc>
        <w:tc>
          <w:tcPr>
            <w:tcW w:w="1983" w:type="dxa"/>
            <w:tcMar>
              <w:left w:w="85" w:type="dxa"/>
              <w:right w:w="85" w:type="dxa"/>
            </w:tcMar>
            <w:vAlign w:val="center"/>
            <w:hideMark/>
          </w:tcPr>
          <w:p w14:paraId="653150CD" w14:textId="7923347D" w:rsidR="00FF3522" w:rsidRPr="001B6EC0" w:rsidRDefault="00FF3522" w:rsidP="00FF3522">
            <w:pPr>
              <w:numPr>
                <w:ilvl w:val="0"/>
                <w:numId w:val="0"/>
              </w:numPr>
              <w:spacing w:before="0"/>
              <w:jc w:val="center"/>
              <w:textAlignment w:val="baseline"/>
              <w:rPr>
                <w:szCs w:val="22"/>
                <w:lang w:val="en"/>
              </w:rPr>
            </w:pPr>
            <w:r w:rsidRPr="001B6EC0">
              <w:rPr>
                <w:szCs w:val="22"/>
                <w:lang w:val="en"/>
              </w:rPr>
              <w:t>5,301</w:t>
            </w:r>
          </w:p>
        </w:tc>
        <w:tc>
          <w:tcPr>
            <w:tcW w:w="1984" w:type="dxa"/>
            <w:tcMar>
              <w:left w:w="85" w:type="dxa"/>
              <w:right w:w="85" w:type="dxa"/>
            </w:tcMar>
            <w:vAlign w:val="center"/>
            <w:hideMark/>
          </w:tcPr>
          <w:p w14:paraId="2FF5BCC3" w14:textId="11AE9933" w:rsidR="00FF3522" w:rsidRPr="001B6EC0" w:rsidRDefault="00FF3522" w:rsidP="00FF3522">
            <w:pPr>
              <w:numPr>
                <w:ilvl w:val="0"/>
                <w:numId w:val="0"/>
              </w:numPr>
              <w:spacing w:before="0"/>
              <w:jc w:val="center"/>
              <w:textAlignment w:val="baseline"/>
              <w:rPr>
                <w:szCs w:val="22"/>
                <w:lang w:val="en"/>
              </w:rPr>
            </w:pPr>
            <w:r w:rsidRPr="001B6EC0">
              <w:rPr>
                <w:szCs w:val="22"/>
                <w:lang w:val="en"/>
              </w:rPr>
              <w:t>4,897</w:t>
            </w:r>
          </w:p>
        </w:tc>
        <w:tc>
          <w:tcPr>
            <w:tcW w:w="768" w:type="dxa"/>
            <w:tcBorders>
              <w:bottom w:val="single" w:sz="4" w:space="0" w:color="00B050"/>
              <w:right w:val="nil"/>
            </w:tcBorders>
            <w:tcMar>
              <w:left w:w="85" w:type="dxa"/>
              <w:right w:w="85" w:type="dxa"/>
            </w:tcMar>
            <w:vAlign w:val="center"/>
            <w:hideMark/>
          </w:tcPr>
          <w:p w14:paraId="01575B16" w14:textId="66ABAF9C" w:rsidR="00FF3522" w:rsidRPr="00E81269" w:rsidRDefault="00FF3522" w:rsidP="00FF3522">
            <w:pPr>
              <w:pStyle w:val="ListBullet"/>
              <w:numPr>
                <w:ilvl w:val="0"/>
                <w:numId w:val="0"/>
              </w:numPr>
              <w:ind w:left="360"/>
              <w:rPr>
                <w:rFonts w:ascii="Wingdings" w:eastAsia="Wingdings" w:hAnsi="Wingdings" w:cs="Wingdings"/>
                <w:color w:val="00B050"/>
                <w:lang w:val="en-GB"/>
              </w:rPr>
            </w:pPr>
            <w:r w:rsidRPr="00E81269">
              <w:rPr>
                <w:rFonts w:ascii="Wingdings" w:eastAsia="Wingdings" w:hAnsi="Wingdings" w:cs="Wingdings"/>
                <w:color w:val="00B050"/>
                <w:lang w:val="en-GB"/>
              </w:rPr>
              <w:t>î</w:t>
            </w:r>
          </w:p>
        </w:tc>
        <w:tc>
          <w:tcPr>
            <w:tcW w:w="1650" w:type="dxa"/>
            <w:tcBorders>
              <w:left w:val="nil"/>
              <w:bottom w:val="single" w:sz="4" w:space="0" w:color="00B050"/>
            </w:tcBorders>
            <w:vAlign w:val="bottom"/>
          </w:tcPr>
          <w:p w14:paraId="2607C556" w14:textId="5D7AEBEC" w:rsidR="00FF3522" w:rsidRPr="00983F82" w:rsidRDefault="00FF3522" w:rsidP="52E7B01D">
            <w:pPr>
              <w:pStyle w:val="ListBullet"/>
              <w:numPr>
                <w:ilvl w:val="0"/>
                <w:numId w:val="0"/>
              </w:numPr>
              <w:ind w:left="360"/>
            </w:pPr>
            <w:r>
              <w:t>-7.62%</w:t>
            </w:r>
          </w:p>
        </w:tc>
      </w:tr>
      <w:tr w:rsidR="004B6236" w:rsidRPr="001B6EC0" w14:paraId="7BF9DD84" w14:textId="77777777" w:rsidTr="52E7B01D">
        <w:trPr>
          <w:trHeight w:val="417"/>
          <w:jc w:val="center"/>
        </w:trPr>
        <w:tc>
          <w:tcPr>
            <w:tcW w:w="3476" w:type="dxa"/>
            <w:tcMar>
              <w:left w:w="85" w:type="dxa"/>
              <w:right w:w="85" w:type="dxa"/>
            </w:tcMar>
            <w:vAlign w:val="center"/>
          </w:tcPr>
          <w:p w14:paraId="7307B331" w14:textId="322FE214" w:rsidR="004B6236" w:rsidRPr="00DE2004" w:rsidRDefault="00AA4137" w:rsidP="004B3F22">
            <w:pPr>
              <w:numPr>
                <w:ilvl w:val="0"/>
                <w:numId w:val="0"/>
              </w:numPr>
              <w:spacing w:before="0"/>
              <w:textAlignment w:val="baseline"/>
              <w:rPr>
                <w:b/>
                <w:bCs/>
                <w:szCs w:val="22"/>
                <w:lang w:val="en"/>
              </w:rPr>
            </w:pPr>
            <w:r w:rsidRPr="00DE2004">
              <w:rPr>
                <w:b/>
                <w:bCs/>
                <w:szCs w:val="22"/>
                <w:lang w:val="en"/>
              </w:rPr>
              <w:t>Total emissions within the Council’s direct control</w:t>
            </w:r>
          </w:p>
        </w:tc>
        <w:tc>
          <w:tcPr>
            <w:tcW w:w="1983" w:type="dxa"/>
            <w:tcMar>
              <w:left w:w="85" w:type="dxa"/>
              <w:right w:w="85" w:type="dxa"/>
            </w:tcMar>
            <w:vAlign w:val="center"/>
          </w:tcPr>
          <w:p w14:paraId="09724562" w14:textId="17DD2C87" w:rsidR="004B6236" w:rsidRPr="000B721C" w:rsidRDefault="009E67FA" w:rsidP="004B3F22">
            <w:pPr>
              <w:numPr>
                <w:ilvl w:val="0"/>
                <w:numId w:val="0"/>
              </w:numPr>
              <w:spacing w:before="0"/>
              <w:jc w:val="center"/>
              <w:textAlignment w:val="baseline"/>
              <w:rPr>
                <w:b/>
                <w:bCs/>
                <w:szCs w:val="22"/>
                <w:lang w:val="en"/>
              </w:rPr>
            </w:pPr>
            <w:r w:rsidRPr="000B721C">
              <w:rPr>
                <w:b/>
                <w:bCs/>
                <w:szCs w:val="22"/>
                <w:lang w:val="en"/>
              </w:rPr>
              <w:t>11,481</w:t>
            </w:r>
          </w:p>
        </w:tc>
        <w:tc>
          <w:tcPr>
            <w:tcW w:w="1984" w:type="dxa"/>
            <w:tcMar>
              <w:left w:w="85" w:type="dxa"/>
              <w:right w:w="85" w:type="dxa"/>
            </w:tcMar>
            <w:vAlign w:val="center"/>
          </w:tcPr>
          <w:p w14:paraId="7FDC6756" w14:textId="76ADD289" w:rsidR="004B6236" w:rsidRPr="000B721C" w:rsidRDefault="004B6236" w:rsidP="004B3F22">
            <w:pPr>
              <w:numPr>
                <w:ilvl w:val="0"/>
                <w:numId w:val="0"/>
              </w:numPr>
              <w:spacing w:before="0"/>
              <w:jc w:val="center"/>
              <w:textAlignment w:val="baseline"/>
              <w:rPr>
                <w:b/>
                <w:bCs/>
                <w:szCs w:val="22"/>
                <w:lang w:val="en"/>
              </w:rPr>
            </w:pPr>
            <w:r w:rsidRPr="000B721C">
              <w:rPr>
                <w:b/>
                <w:bCs/>
                <w:szCs w:val="22"/>
                <w:lang w:val="en"/>
              </w:rPr>
              <w:t>11</w:t>
            </w:r>
            <w:r w:rsidR="00AA4137" w:rsidRPr="000B721C">
              <w:rPr>
                <w:b/>
                <w:bCs/>
                <w:szCs w:val="22"/>
                <w:lang w:val="en"/>
              </w:rPr>
              <w:t>,201</w:t>
            </w:r>
          </w:p>
        </w:tc>
        <w:tc>
          <w:tcPr>
            <w:tcW w:w="768" w:type="dxa"/>
            <w:tcBorders>
              <w:bottom w:val="single" w:sz="4" w:space="0" w:color="00B050"/>
              <w:right w:val="nil"/>
            </w:tcBorders>
            <w:tcMar>
              <w:left w:w="85" w:type="dxa"/>
              <w:right w:w="85" w:type="dxa"/>
            </w:tcMar>
            <w:vAlign w:val="center"/>
          </w:tcPr>
          <w:p w14:paraId="45754AEC" w14:textId="3B73451C" w:rsidR="004B6236" w:rsidRPr="00E81269" w:rsidRDefault="0051471E" w:rsidP="004B3F22">
            <w:pPr>
              <w:pStyle w:val="ListBullet"/>
              <w:numPr>
                <w:ilvl w:val="0"/>
                <w:numId w:val="0"/>
              </w:numPr>
              <w:ind w:left="360"/>
              <w:rPr>
                <w:rFonts w:ascii="Wingdings" w:eastAsia="Wingdings" w:hAnsi="Wingdings" w:cs="Wingdings"/>
                <w:color w:val="00B050"/>
                <w:lang w:val="en-GB"/>
              </w:rPr>
            </w:pPr>
            <w:r>
              <w:rPr>
                <w:rFonts w:ascii="Wingdings" w:eastAsia="Wingdings" w:hAnsi="Wingdings" w:cs="Wingdings"/>
                <w:color w:val="00B050"/>
                <w:lang w:val="en-GB"/>
              </w:rPr>
              <w:t>è</w:t>
            </w:r>
          </w:p>
        </w:tc>
        <w:tc>
          <w:tcPr>
            <w:tcW w:w="1650" w:type="dxa"/>
            <w:tcBorders>
              <w:left w:val="nil"/>
              <w:bottom w:val="single" w:sz="4" w:space="0" w:color="00B050"/>
            </w:tcBorders>
            <w:vAlign w:val="center"/>
          </w:tcPr>
          <w:p w14:paraId="3FC8232A" w14:textId="45B2AA2F" w:rsidR="004B6236" w:rsidRPr="00983F82" w:rsidRDefault="00593773" w:rsidP="004B3F22">
            <w:pPr>
              <w:pStyle w:val="ListBullet"/>
              <w:numPr>
                <w:ilvl w:val="0"/>
                <w:numId w:val="0"/>
              </w:numPr>
              <w:spacing w:after="0"/>
              <w:ind w:left="360"/>
              <w:rPr>
                <w:b/>
                <w:bCs/>
                <w:lang w:val="en-GB"/>
              </w:rPr>
            </w:pPr>
            <w:r w:rsidRPr="00983F82">
              <w:rPr>
                <w:b/>
                <w:bCs/>
                <w:lang w:val="en-GB"/>
              </w:rPr>
              <w:t>-0.02</w:t>
            </w:r>
            <w:r w:rsidR="004B3F22" w:rsidRPr="00983F82">
              <w:rPr>
                <w:b/>
                <w:bCs/>
                <w:lang w:val="en-GB"/>
              </w:rPr>
              <w:t>%</w:t>
            </w:r>
          </w:p>
        </w:tc>
      </w:tr>
      <w:tr w:rsidR="00FF3522" w:rsidRPr="001B6EC0" w14:paraId="0759728A" w14:textId="77777777" w:rsidTr="52E7B01D">
        <w:trPr>
          <w:trHeight w:val="340"/>
          <w:jc w:val="center"/>
        </w:trPr>
        <w:tc>
          <w:tcPr>
            <w:tcW w:w="3476" w:type="dxa"/>
            <w:tcMar>
              <w:left w:w="85" w:type="dxa"/>
              <w:right w:w="85" w:type="dxa"/>
            </w:tcMar>
            <w:vAlign w:val="center"/>
            <w:hideMark/>
          </w:tcPr>
          <w:p w14:paraId="45BA265C" w14:textId="77777777" w:rsidR="00FF3522" w:rsidRPr="00DE2004" w:rsidRDefault="00FF3522" w:rsidP="00FF3522">
            <w:pPr>
              <w:numPr>
                <w:ilvl w:val="0"/>
                <w:numId w:val="0"/>
              </w:numPr>
              <w:spacing w:before="0"/>
              <w:textAlignment w:val="baseline"/>
              <w:rPr>
                <w:szCs w:val="22"/>
                <w:lang w:val="en"/>
              </w:rPr>
            </w:pPr>
            <w:r w:rsidRPr="00DE2004">
              <w:rPr>
                <w:szCs w:val="22"/>
                <w:lang w:val="en"/>
              </w:rPr>
              <w:t>Purchased services and works</w:t>
            </w:r>
          </w:p>
        </w:tc>
        <w:tc>
          <w:tcPr>
            <w:tcW w:w="1983" w:type="dxa"/>
            <w:tcMar>
              <w:left w:w="85" w:type="dxa"/>
              <w:right w:w="85" w:type="dxa"/>
            </w:tcMar>
            <w:vAlign w:val="center"/>
            <w:hideMark/>
          </w:tcPr>
          <w:p w14:paraId="115E8040" w14:textId="2D597E92" w:rsidR="00FF3522" w:rsidRPr="001B6EC0" w:rsidRDefault="00FF3522" w:rsidP="00FF3522">
            <w:pPr>
              <w:numPr>
                <w:ilvl w:val="0"/>
                <w:numId w:val="0"/>
              </w:numPr>
              <w:spacing w:before="0"/>
              <w:jc w:val="center"/>
              <w:textAlignment w:val="baseline"/>
              <w:rPr>
                <w:szCs w:val="22"/>
                <w:lang w:val="en"/>
              </w:rPr>
            </w:pPr>
            <w:r w:rsidRPr="001B6EC0">
              <w:rPr>
                <w:szCs w:val="22"/>
                <w:lang w:val="en"/>
              </w:rPr>
              <w:t>31,678</w:t>
            </w:r>
          </w:p>
        </w:tc>
        <w:tc>
          <w:tcPr>
            <w:tcW w:w="1984" w:type="dxa"/>
            <w:tcMar>
              <w:left w:w="85" w:type="dxa"/>
              <w:right w:w="85" w:type="dxa"/>
            </w:tcMar>
            <w:vAlign w:val="center"/>
            <w:hideMark/>
          </w:tcPr>
          <w:p w14:paraId="716ACF25" w14:textId="77777777" w:rsidR="00FF3522" w:rsidRPr="001B6EC0" w:rsidRDefault="00FF3522" w:rsidP="00FF3522">
            <w:pPr>
              <w:numPr>
                <w:ilvl w:val="0"/>
                <w:numId w:val="0"/>
              </w:numPr>
              <w:spacing w:before="0"/>
              <w:jc w:val="center"/>
              <w:textAlignment w:val="baseline"/>
              <w:rPr>
                <w:szCs w:val="22"/>
                <w:lang w:val="en"/>
              </w:rPr>
            </w:pPr>
            <w:r w:rsidRPr="001B6EC0">
              <w:rPr>
                <w:szCs w:val="22"/>
                <w:lang w:val="en"/>
              </w:rPr>
              <w:t>32,251</w:t>
            </w:r>
          </w:p>
        </w:tc>
        <w:tc>
          <w:tcPr>
            <w:tcW w:w="768" w:type="dxa"/>
            <w:tcBorders>
              <w:bottom w:val="single" w:sz="4" w:space="0" w:color="00B050"/>
              <w:right w:val="nil"/>
            </w:tcBorders>
            <w:tcMar>
              <w:left w:w="85" w:type="dxa"/>
              <w:right w:w="85" w:type="dxa"/>
            </w:tcMar>
            <w:vAlign w:val="bottom"/>
            <w:hideMark/>
          </w:tcPr>
          <w:p w14:paraId="4EB4CCE6" w14:textId="0B3D4BFE" w:rsidR="00FF3522" w:rsidRPr="00983F82" w:rsidRDefault="00FF3522" w:rsidP="00FF3522">
            <w:pPr>
              <w:pStyle w:val="ListBullet"/>
              <w:numPr>
                <w:ilvl w:val="0"/>
                <w:numId w:val="0"/>
              </w:numPr>
              <w:ind w:left="360"/>
              <w:rPr>
                <w:szCs w:val="22"/>
              </w:rPr>
            </w:pPr>
            <w:r w:rsidRPr="00E81269">
              <w:rPr>
                <w:rFonts w:ascii="Wingdings" w:eastAsia="Wingdings" w:hAnsi="Wingdings" w:cs="Wingdings"/>
                <w:color w:val="FFC000"/>
                <w:szCs w:val="22"/>
              </w:rPr>
              <w:t>ì</w:t>
            </w:r>
            <w:r w:rsidRPr="00E81269">
              <w:rPr>
                <w:color w:val="FFC000"/>
                <w:szCs w:val="22"/>
              </w:rPr>
              <w:t xml:space="preserve"> </w:t>
            </w:r>
          </w:p>
        </w:tc>
        <w:tc>
          <w:tcPr>
            <w:tcW w:w="1650" w:type="dxa"/>
            <w:tcBorders>
              <w:left w:val="nil"/>
              <w:bottom w:val="single" w:sz="4" w:space="0" w:color="00B050"/>
            </w:tcBorders>
            <w:vAlign w:val="bottom"/>
          </w:tcPr>
          <w:p w14:paraId="2999AB9D" w14:textId="4FB9A735" w:rsidR="00FF3522" w:rsidRPr="00983F82" w:rsidRDefault="00FF3522" w:rsidP="00FF3522">
            <w:pPr>
              <w:pStyle w:val="ListBullet"/>
              <w:numPr>
                <w:ilvl w:val="0"/>
                <w:numId w:val="0"/>
              </w:numPr>
              <w:ind w:left="360"/>
              <w:rPr>
                <w:szCs w:val="22"/>
              </w:rPr>
            </w:pPr>
            <w:r w:rsidRPr="00983F82">
              <w:rPr>
                <w:szCs w:val="22"/>
              </w:rPr>
              <w:t>1.81%</w:t>
            </w:r>
          </w:p>
        </w:tc>
      </w:tr>
      <w:tr w:rsidR="00FF3522" w:rsidRPr="001B6EC0" w14:paraId="58455208" w14:textId="77777777" w:rsidTr="52E7B01D">
        <w:trPr>
          <w:trHeight w:val="417"/>
          <w:jc w:val="center"/>
        </w:trPr>
        <w:tc>
          <w:tcPr>
            <w:tcW w:w="3476" w:type="dxa"/>
            <w:tcMar>
              <w:left w:w="85" w:type="dxa"/>
              <w:right w:w="85" w:type="dxa"/>
            </w:tcMar>
            <w:vAlign w:val="center"/>
            <w:hideMark/>
          </w:tcPr>
          <w:p w14:paraId="0D8BDD12" w14:textId="77777777" w:rsidR="00FF3522" w:rsidRPr="00DE2004" w:rsidRDefault="00FF3522" w:rsidP="00FF3522">
            <w:pPr>
              <w:numPr>
                <w:ilvl w:val="0"/>
                <w:numId w:val="0"/>
              </w:numPr>
              <w:spacing w:before="0"/>
              <w:textAlignment w:val="baseline"/>
              <w:rPr>
                <w:szCs w:val="22"/>
                <w:lang w:val="en"/>
              </w:rPr>
            </w:pPr>
            <w:r w:rsidRPr="00DE2004">
              <w:rPr>
                <w:szCs w:val="22"/>
                <w:lang w:val="en"/>
              </w:rPr>
              <w:t>Purchased goods</w:t>
            </w:r>
          </w:p>
        </w:tc>
        <w:tc>
          <w:tcPr>
            <w:tcW w:w="1983" w:type="dxa"/>
            <w:tcMar>
              <w:left w:w="85" w:type="dxa"/>
              <w:right w:w="85" w:type="dxa"/>
            </w:tcMar>
            <w:vAlign w:val="center"/>
            <w:hideMark/>
          </w:tcPr>
          <w:p w14:paraId="49ACB336" w14:textId="77777777" w:rsidR="00FF3522" w:rsidRPr="001B6EC0" w:rsidRDefault="00FF3522" w:rsidP="00FF3522">
            <w:pPr>
              <w:numPr>
                <w:ilvl w:val="0"/>
                <w:numId w:val="0"/>
              </w:numPr>
              <w:spacing w:before="0"/>
              <w:jc w:val="center"/>
              <w:textAlignment w:val="baseline"/>
              <w:rPr>
                <w:szCs w:val="22"/>
                <w:lang w:val="en"/>
              </w:rPr>
            </w:pPr>
            <w:r w:rsidRPr="001B6EC0">
              <w:rPr>
                <w:szCs w:val="22"/>
                <w:lang w:val="en"/>
              </w:rPr>
              <w:t>3,924</w:t>
            </w:r>
          </w:p>
        </w:tc>
        <w:tc>
          <w:tcPr>
            <w:tcW w:w="1984" w:type="dxa"/>
            <w:tcMar>
              <w:left w:w="85" w:type="dxa"/>
              <w:right w:w="85" w:type="dxa"/>
            </w:tcMar>
            <w:vAlign w:val="center"/>
            <w:hideMark/>
          </w:tcPr>
          <w:p w14:paraId="0163F6E3" w14:textId="77777777" w:rsidR="00FF3522" w:rsidRPr="001B6EC0" w:rsidRDefault="00FF3522" w:rsidP="00FF3522">
            <w:pPr>
              <w:numPr>
                <w:ilvl w:val="0"/>
                <w:numId w:val="0"/>
              </w:numPr>
              <w:spacing w:before="0"/>
              <w:jc w:val="center"/>
              <w:textAlignment w:val="baseline"/>
              <w:rPr>
                <w:szCs w:val="22"/>
                <w:lang w:val="en"/>
              </w:rPr>
            </w:pPr>
            <w:r w:rsidRPr="001B6EC0">
              <w:rPr>
                <w:szCs w:val="22"/>
                <w:lang w:val="en"/>
              </w:rPr>
              <w:t>3,421</w:t>
            </w:r>
          </w:p>
        </w:tc>
        <w:tc>
          <w:tcPr>
            <w:tcW w:w="768" w:type="dxa"/>
            <w:tcBorders>
              <w:bottom w:val="single" w:sz="4" w:space="0" w:color="00B050"/>
              <w:right w:val="nil"/>
            </w:tcBorders>
            <w:tcMar>
              <w:left w:w="85" w:type="dxa"/>
              <w:right w:w="85" w:type="dxa"/>
            </w:tcMar>
            <w:vAlign w:val="bottom"/>
            <w:hideMark/>
          </w:tcPr>
          <w:p w14:paraId="40680A51" w14:textId="1935230D" w:rsidR="00FF3522" w:rsidRPr="00E81269" w:rsidRDefault="00FF3522" w:rsidP="00FF3522">
            <w:pPr>
              <w:pStyle w:val="ListBullet"/>
              <w:numPr>
                <w:ilvl w:val="0"/>
                <w:numId w:val="0"/>
              </w:numPr>
              <w:ind w:left="360"/>
              <w:rPr>
                <w:rFonts w:ascii="Wingdings" w:eastAsia="Wingdings" w:hAnsi="Wingdings" w:cs="Wingdings"/>
                <w:color w:val="00B050"/>
                <w:lang w:val="en-GB"/>
              </w:rPr>
            </w:pPr>
            <w:r w:rsidRPr="00E81269">
              <w:rPr>
                <w:rFonts w:ascii="Wingdings" w:eastAsia="Wingdings" w:hAnsi="Wingdings" w:cs="Wingdings"/>
                <w:color w:val="00B050"/>
                <w:lang w:val="en-GB"/>
              </w:rPr>
              <w:t xml:space="preserve">î </w:t>
            </w:r>
          </w:p>
        </w:tc>
        <w:tc>
          <w:tcPr>
            <w:tcW w:w="1650" w:type="dxa"/>
            <w:tcBorders>
              <w:left w:val="nil"/>
              <w:bottom w:val="single" w:sz="4" w:space="0" w:color="00B050"/>
            </w:tcBorders>
            <w:vAlign w:val="bottom"/>
          </w:tcPr>
          <w:p w14:paraId="730314E4" w14:textId="20507A5E" w:rsidR="00FF3522" w:rsidRPr="00983F82" w:rsidRDefault="00FF3522" w:rsidP="00FF3522">
            <w:pPr>
              <w:pStyle w:val="ListBullet"/>
              <w:numPr>
                <w:ilvl w:val="0"/>
                <w:numId w:val="0"/>
              </w:numPr>
              <w:ind w:left="360"/>
              <w:rPr>
                <w:szCs w:val="22"/>
              </w:rPr>
            </w:pPr>
            <w:r w:rsidRPr="00983F82">
              <w:rPr>
                <w:szCs w:val="22"/>
              </w:rPr>
              <w:t>-12.82%</w:t>
            </w:r>
          </w:p>
        </w:tc>
      </w:tr>
      <w:tr w:rsidR="00FF3522" w:rsidRPr="001B6EC0" w14:paraId="79B2395B" w14:textId="77777777" w:rsidTr="52E7B01D">
        <w:trPr>
          <w:trHeight w:val="417"/>
          <w:jc w:val="center"/>
        </w:trPr>
        <w:tc>
          <w:tcPr>
            <w:tcW w:w="3476" w:type="dxa"/>
            <w:tcMar>
              <w:left w:w="85" w:type="dxa"/>
              <w:right w:w="85" w:type="dxa"/>
            </w:tcMar>
            <w:vAlign w:val="center"/>
            <w:hideMark/>
          </w:tcPr>
          <w:p w14:paraId="2C9C086C" w14:textId="55909C5C" w:rsidR="00FF3522" w:rsidRPr="00DE2004" w:rsidRDefault="00FF3522" w:rsidP="00FF3522">
            <w:pPr>
              <w:numPr>
                <w:ilvl w:val="0"/>
                <w:numId w:val="0"/>
              </w:numPr>
              <w:spacing w:before="0"/>
              <w:textAlignment w:val="baseline"/>
              <w:rPr>
                <w:b/>
                <w:bCs/>
                <w:szCs w:val="22"/>
                <w:lang w:val="en"/>
              </w:rPr>
            </w:pPr>
            <w:r w:rsidRPr="00DE2004">
              <w:rPr>
                <w:b/>
                <w:bCs/>
                <w:szCs w:val="22"/>
                <w:lang w:val="en"/>
              </w:rPr>
              <w:t>Total</w:t>
            </w:r>
            <w:r w:rsidR="000B721C" w:rsidRPr="00DE2004">
              <w:rPr>
                <w:b/>
                <w:bCs/>
                <w:szCs w:val="22"/>
                <w:lang w:val="en"/>
              </w:rPr>
              <w:t xml:space="preserve"> emissions including purchasing</w:t>
            </w:r>
          </w:p>
        </w:tc>
        <w:tc>
          <w:tcPr>
            <w:tcW w:w="1983" w:type="dxa"/>
            <w:tcMar>
              <w:left w:w="85" w:type="dxa"/>
              <w:right w:w="85" w:type="dxa"/>
            </w:tcMar>
            <w:vAlign w:val="center"/>
          </w:tcPr>
          <w:p w14:paraId="78FBD7F8" w14:textId="0A610463" w:rsidR="00FF3522" w:rsidRPr="001B6EC0" w:rsidRDefault="00FF3522" w:rsidP="00FF3522">
            <w:pPr>
              <w:numPr>
                <w:ilvl w:val="0"/>
                <w:numId w:val="0"/>
              </w:numPr>
              <w:spacing w:before="0"/>
              <w:jc w:val="center"/>
              <w:textAlignment w:val="baseline"/>
              <w:rPr>
                <w:b/>
                <w:bCs/>
                <w:szCs w:val="22"/>
                <w:lang w:val="en"/>
              </w:rPr>
            </w:pPr>
            <w:r>
              <w:rPr>
                <w:b/>
                <w:bCs/>
                <w:szCs w:val="22"/>
                <w:lang w:val="en"/>
              </w:rPr>
              <w:t>47,083</w:t>
            </w:r>
          </w:p>
        </w:tc>
        <w:tc>
          <w:tcPr>
            <w:tcW w:w="1984" w:type="dxa"/>
            <w:tcMar>
              <w:left w:w="85" w:type="dxa"/>
              <w:right w:w="85" w:type="dxa"/>
            </w:tcMar>
            <w:vAlign w:val="center"/>
          </w:tcPr>
          <w:p w14:paraId="709942E5" w14:textId="46F1F0ED" w:rsidR="00FF3522" w:rsidRPr="001B6EC0" w:rsidRDefault="00FF3522" w:rsidP="00FF3522">
            <w:pPr>
              <w:numPr>
                <w:ilvl w:val="0"/>
                <w:numId w:val="0"/>
              </w:numPr>
              <w:spacing w:before="0"/>
              <w:jc w:val="center"/>
              <w:textAlignment w:val="baseline"/>
              <w:rPr>
                <w:b/>
                <w:bCs/>
                <w:szCs w:val="22"/>
                <w:lang w:val="en"/>
              </w:rPr>
            </w:pPr>
            <w:r>
              <w:rPr>
                <w:b/>
                <w:bCs/>
                <w:szCs w:val="22"/>
                <w:lang w:val="en"/>
              </w:rPr>
              <w:t>46,873</w:t>
            </w:r>
          </w:p>
        </w:tc>
        <w:tc>
          <w:tcPr>
            <w:tcW w:w="768" w:type="dxa"/>
            <w:tcBorders>
              <w:right w:val="nil"/>
            </w:tcBorders>
            <w:tcMar>
              <w:left w:w="85" w:type="dxa"/>
              <w:right w:w="85" w:type="dxa"/>
            </w:tcMar>
            <w:vAlign w:val="center"/>
            <w:hideMark/>
          </w:tcPr>
          <w:p w14:paraId="42A84A7F" w14:textId="77777777" w:rsidR="00FF3522" w:rsidRPr="00983F82" w:rsidRDefault="00FF3522" w:rsidP="00FF3522">
            <w:pPr>
              <w:pStyle w:val="ListBullet"/>
              <w:numPr>
                <w:ilvl w:val="0"/>
                <w:numId w:val="0"/>
              </w:numPr>
              <w:ind w:left="360"/>
              <w:rPr>
                <w:b/>
                <w:bCs/>
                <w:lang w:val="en-GB"/>
              </w:rPr>
            </w:pPr>
            <w:r w:rsidRPr="00E81269">
              <w:rPr>
                <w:rFonts w:ascii="Wingdings" w:eastAsia="Wingdings" w:hAnsi="Wingdings" w:cs="Wingdings"/>
                <w:color w:val="00B050"/>
                <w:lang w:val="en-GB"/>
              </w:rPr>
              <w:t>î</w:t>
            </w:r>
          </w:p>
        </w:tc>
        <w:tc>
          <w:tcPr>
            <w:tcW w:w="1650" w:type="dxa"/>
            <w:tcBorders>
              <w:left w:val="nil"/>
            </w:tcBorders>
            <w:vAlign w:val="center"/>
          </w:tcPr>
          <w:p w14:paraId="4D3EB4FD" w14:textId="4A732105" w:rsidR="00FF3522" w:rsidRPr="00983F82" w:rsidRDefault="00FF3522" w:rsidP="00FF3522">
            <w:pPr>
              <w:pStyle w:val="ListBullet"/>
              <w:numPr>
                <w:ilvl w:val="0"/>
                <w:numId w:val="0"/>
              </w:numPr>
              <w:ind w:left="360"/>
              <w:rPr>
                <w:b/>
                <w:bCs/>
                <w:szCs w:val="22"/>
              </w:rPr>
            </w:pPr>
            <w:r w:rsidRPr="00983F82">
              <w:rPr>
                <w:b/>
                <w:bCs/>
                <w:szCs w:val="22"/>
              </w:rPr>
              <w:t>-0.45%</w:t>
            </w:r>
          </w:p>
        </w:tc>
      </w:tr>
    </w:tbl>
    <w:p w14:paraId="2C66B8E3" w14:textId="77777777" w:rsidR="00E12A5F" w:rsidRDefault="00E12A5F" w:rsidP="009E294F">
      <w:pPr>
        <w:pStyle w:val="ListBullet"/>
        <w:numPr>
          <w:ilvl w:val="0"/>
          <w:numId w:val="0"/>
        </w:numPr>
      </w:pPr>
    </w:p>
    <w:p w14:paraId="7C37DAB4" w14:textId="0862EAA4" w:rsidR="00910272" w:rsidRPr="0098034C" w:rsidRDefault="0059103F" w:rsidP="00910272">
      <w:pPr>
        <w:pStyle w:val="ListBullet"/>
        <w:numPr>
          <w:ilvl w:val="0"/>
          <w:numId w:val="0"/>
        </w:numPr>
        <w:spacing w:after="120"/>
        <w:jc w:val="center"/>
        <w:rPr>
          <w:b/>
        </w:rPr>
      </w:pPr>
      <w:r>
        <w:br w:type="page"/>
      </w:r>
      <w:r w:rsidR="00910272" w:rsidRPr="0098034C">
        <w:rPr>
          <w:b/>
        </w:rPr>
        <w:lastRenderedPageBreak/>
        <w:t xml:space="preserve">Table </w:t>
      </w:r>
      <w:r w:rsidR="00910272">
        <w:rPr>
          <w:b/>
        </w:rPr>
        <w:t>C</w:t>
      </w:r>
      <w:r w:rsidR="00910272" w:rsidRPr="0098034C">
        <w:rPr>
          <w:b/>
        </w:rPr>
        <w:t xml:space="preserve"> - Plymouth City Council </w:t>
      </w:r>
      <w:r w:rsidR="00AF27DC">
        <w:rPr>
          <w:b/>
        </w:rPr>
        <w:t>GHG</w:t>
      </w:r>
      <w:r w:rsidR="00910272" w:rsidRPr="0098034C">
        <w:rPr>
          <w:b/>
        </w:rPr>
        <w:t xml:space="preserve"> Emissions (in tCO</w:t>
      </w:r>
      <w:r w:rsidR="00910272" w:rsidRPr="0098034C">
        <w:rPr>
          <w:b/>
          <w:vertAlign w:val="subscript"/>
        </w:rPr>
        <w:t>2</w:t>
      </w:r>
      <w:r w:rsidR="00910272" w:rsidRPr="0098034C">
        <w:rPr>
          <w:b/>
        </w:rPr>
        <w:t xml:space="preserve">e) </w:t>
      </w:r>
      <w:r w:rsidR="00910272">
        <w:rPr>
          <w:b/>
        </w:rPr>
        <w:t xml:space="preserve">by scope </w:t>
      </w:r>
      <w:r w:rsidR="00910272" w:rsidRPr="0098034C">
        <w:rPr>
          <w:b/>
        </w:rPr>
        <w:t>between 2022/23 and 2023/24</w:t>
      </w:r>
    </w:p>
    <w:p w14:paraId="4988C7AD" w14:textId="05CE2A40" w:rsidR="0059103F" w:rsidRDefault="0059103F">
      <w:pPr>
        <w:numPr>
          <w:ilvl w:val="0"/>
          <w:numId w:val="0"/>
        </w:numPr>
        <w:spacing w:before="0"/>
        <w:rPr>
          <w:lang w:val="en"/>
        </w:rPr>
      </w:pPr>
    </w:p>
    <w:tbl>
      <w:tblPr>
        <w:tblW w:w="9959" w:type="dxa"/>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CellMar>
          <w:left w:w="0" w:type="dxa"/>
          <w:right w:w="0" w:type="dxa"/>
        </w:tblCellMar>
        <w:tblLook w:val="0420" w:firstRow="1" w:lastRow="0" w:firstColumn="0" w:lastColumn="0" w:noHBand="0" w:noVBand="1"/>
      </w:tblPr>
      <w:tblGrid>
        <w:gridCol w:w="3534"/>
        <w:gridCol w:w="1985"/>
        <w:gridCol w:w="1984"/>
        <w:gridCol w:w="747"/>
        <w:gridCol w:w="1709"/>
      </w:tblGrid>
      <w:tr w:rsidR="00910272" w:rsidRPr="0059103F" w14:paraId="5CE17A52" w14:textId="61BEE1AA" w:rsidTr="00A043FC">
        <w:trPr>
          <w:trHeight w:val="324"/>
        </w:trPr>
        <w:tc>
          <w:tcPr>
            <w:tcW w:w="3534" w:type="dxa"/>
            <w:shd w:val="clear" w:color="auto" w:fill="00B050"/>
            <w:tcMar>
              <w:top w:w="72" w:type="dxa"/>
              <w:left w:w="144" w:type="dxa"/>
              <w:bottom w:w="72" w:type="dxa"/>
              <w:right w:w="144" w:type="dxa"/>
            </w:tcMar>
            <w:vAlign w:val="center"/>
            <w:hideMark/>
          </w:tcPr>
          <w:p w14:paraId="09EC5B24" w14:textId="10198295" w:rsidR="00910272" w:rsidRPr="0059103F" w:rsidRDefault="00910272" w:rsidP="00A043FC">
            <w:pPr>
              <w:numPr>
                <w:ilvl w:val="0"/>
                <w:numId w:val="0"/>
              </w:numPr>
              <w:spacing w:after="120"/>
              <w:jc w:val="center"/>
              <w:rPr>
                <w:b/>
                <w:bCs/>
                <w:color w:val="FFFFFF" w:themeColor="background1"/>
                <w:lang w:val="en"/>
              </w:rPr>
            </w:pPr>
            <w:r w:rsidRPr="00910272">
              <w:rPr>
                <w:b/>
                <w:bCs/>
                <w:color w:val="FFFFFF" w:themeColor="background1"/>
                <w:lang w:val="en"/>
              </w:rPr>
              <w:t>Scope</w:t>
            </w:r>
          </w:p>
        </w:tc>
        <w:tc>
          <w:tcPr>
            <w:tcW w:w="1985" w:type="dxa"/>
            <w:shd w:val="clear" w:color="auto" w:fill="00B050"/>
            <w:tcMar>
              <w:top w:w="72" w:type="dxa"/>
              <w:left w:w="144" w:type="dxa"/>
              <w:bottom w:w="72" w:type="dxa"/>
              <w:right w:w="144" w:type="dxa"/>
            </w:tcMar>
            <w:vAlign w:val="center"/>
            <w:hideMark/>
          </w:tcPr>
          <w:p w14:paraId="4B712202" w14:textId="7B1C106B" w:rsidR="00910272" w:rsidRPr="0059103F" w:rsidRDefault="00910272" w:rsidP="00A043FC">
            <w:pPr>
              <w:numPr>
                <w:ilvl w:val="0"/>
                <w:numId w:val="0"/>
              </w:numPr>
              <w:spacing w:after="120"/>
              <w:jc w:val="center"/>
              <w:rPr>
                <w:b/>
                <w:bCs/>
                <w:color w:val="FFFFFF" w:themeColor="background1"/>
                <w:lang w:val="en"/>
              </w:rPr>
            </w:pPr>
            <w:r w:rsidRPr="0059103F">
              <w:rPr>
                <w:b/>
                <w:bCs/>
                <w:color w:val="FFFFFF" w:themeColor="background1"/>
                <w:lang w:val="en"/>
              </w:rPr>
              <w:t>2022/2023</w:t>
            </w:r>
          </w:p>
        </w:tc>
        <w:tc>
          <w:tcPr>
            <w:tcW w:w="1984" w:type="dxa"/>
            <w:shd w:val="clear" w:color="auto" w:fill="00B050"/>
            <w:tcMar>
              <w:top w:w="72" w:type="dxa"/>
              <w:left w:w="144" w:type="dxa"/>
              <w:bottom w:w="72" w:type="dxa"/>
              <w:right w:w="144" w:type="dxa"/>
            </w:tcMar>
            <w:vAlign w:val="center"/>
            <w:hideMark/>
          </w:tcPr>
          <w:p w14:paraId="0477D576" w14:textId="558F722D" w:rsidR="00910272" w:rsidRPr="0059103F" w:rsidRDefault="00910272" w:rsidP="00A043FC">
            <w:pPr>
              <w:numPr>
                <w:ilvl w:val="0"/>
                <w:numId w:val="0"/>
              </w:numPr>
              <w:spacing w:after="120"/>
              <w:jc w:val="center"/>
              <w:rPr>
                <w:b/>
                <w:bCs/>
                <w:color w:val="FFFFFF" w:themeColor="background1"/>
                <w:lang w:val="en"/>
              </w:rPr>
            </w:pPr>
            <w:r w:rsidRPr="0059103F">
              <w:rPr>
                <w:b/>
                <w:bCs/>
                <w:color w:val="FFFFFF" w:themeColor="background1"/>
                <w:lang w:val="en"/>
              </w:rPr>
              <w:t>2023/2024</w:t>
            </w:r>
          </w:p>
        </w:tc>
        <w:tc>
          <w:tcPr>
            <w:tcW w:w="2456" w:type="dxa"/>
            <w:gridSpan w:val="2"/>
            <w:shd w:val="clear" w:color="auto" w:fill="00B050"/>
            <w:tcMar>
              <w:top w:w="72" w:type="dxa"/>
              <w:left w:w="144" w:type="dxa"/>
              <w:bottom w:w="72" w:type="dxa"/>
              <w:right w:w="144" w:type="dxa"/>
            </w:tcMar>
            <w:vAlign w:val="center"/>
            <w:hideMark/>
          </w:tcPr>
          <w:p w14:paraId="72E41EFB" w14:textId="0F106615" w:rsidR="00910272" w:rsidRPr="00910272" w:rsidRDefault="00910272" w:rsidP="00A043FC">
            <w:pPr>
              <w:numPr>
                <w:ilvl w:val="0"/>
                <w:numId w:val="0"/>
              </w:numPr>
              <w:spacing w:after="120"/>
              <w:jc w:val="center"/>
              <w:rPr>
                <w:b/>
                <w:bCs/>
                <w:color w:val="FFFFFF" w:themeColor="background1"/>
                <w:lang w:val="en"/>
              </w:rPr>
            </w:pPr>
            <w:r w:rsidRPr="00910272">
              <w:rPr>
                <w:b/>
                <w:bCs/>
                <w:color w:val="FFFFFF" w:themeColor="background1"/>
                <w:lang w:val="en"/>
              </w:rPr>
              <w:t>Change from 2022/23 baseline</w:t>
            </w:r>
          </w:p>
        </w:tc>
      </w:tr>
      <w:tr w:rsidR="00910272" w:rsidRPr="0059103F" w14:paraId="51EBD9D5" w14:textId="14F5FD44" w:rsidTr="00910272">
        <w:trPr>
          <w:trHeight w:val="324"/>
        </w:trPr>
        <w:tc>
          <w:tcPr>
            <w:tcW w:w="3534" w:type="dxa"/>
            <w:shd w:val="clear" w:color="auto" w:fill="auto"/>
            <w:tcMar>
              <w:top w:w="72" w:type="dxa"/>
              <w:left w:w="144" w:type="dxa"/>
              <w:bottom w:w="72" w:type="dxa"/>
              <w:right w:w="144" w:type="dxa"/>
            </w:tcMar>
            <w:hideMark/>
          </w:tcPr>
          <w:p w14:paraId="511E8463"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Scope 1</w:t>
            </w:r>
          </w:p>
        </w:tc>
        <w:tc>
          <w:tcPr>
            <w:tcW w:w="1985" w:type="dxa"/>
            <w:shd w:val="clear" w:color="auto" w:fill="auto"/>
            <w:tcMar>
              <w:top w:w="72" w:type="dxa"/>
              <w:left w:w="144" w:type="dxa"/>
              <w:bottom w:w="72" w:type="dxa"/>
              <w:right w:w="144" w:type="dxa"/>
            </w:tcMar>
            <w:hideMark/>
          </w:tcPr>
          <w:p w14:paraId="1AC9B9AF"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3,504</w:t>
            </w:r>
          </w:p>
        </w:tc>
        <w:tc>
          <w:tcPr>
            <w:tcW w:w="1984" w:type="dxa"/>
            <w:shd w:val="clear" w:color="auto" w:fill="auto"/>
            <w:tcMar>
              <w:top w:w="72" w:type="dxa"/>
              <w:left w:w="144" w:type="dxa"/>
              <w:bottom w:w="72" w:type="dxa"/>
              <w:right w:w="144" w:type="dxa"/>
            </w:tcMar>
            <w:hideMark/>
          </w:tcPr>
          <w:p w14:paraId="47E541BF"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3,231</w:t>
            </w:r>
          </w:p>
        </w:tc>
        <w:tc>
          <w:tcPr>
            <w:tcW w:w="747" w:type="dxa"/>
            <w:shd w:val="clear" w:color="auto" w:fill="auto"/>
            <w:tcMar>
              <w:top w:w="72" w:type="dxa"/>
              <w:left w:w="144" w:type="dxa"/>
              <w:bottom w:w="72" w:type="dxa"/>
              <w:right w:w="144" w:type="dxa"/>
            </w:tcMar>
            <w:hideMark/>
          </w:tcPr>
          <w:p w14:paraId="411807B1" w14:textId="0A8DAF98" w:rsidR="00910272" w:rsidRPr="0059103F" w:rsidRDefault="00910272" w:rsidP="0059103F">
            <w:pPr>
              <w:numPr>
                <w:ilvl w:val="0"/>
                <w:numId w:val="0"/>
              </w:numPr>
              <w:spacing w:before="0" w:after="60"/>
              <w:textAlignment w:val="baseline"/>
              <w:rPr>
                <w:sz w:val="22"/>
                <w:szCs w:val="22"/>
                <w:lang w:val="en"/>
              </w:rPr>
            </w:pPr>
            <w:r w:rsidRPr="00E81269">
              <w:rPr>
                <w:rFonts w:ascii="Wingdings" w:eastAsia="Wingdings" w:hAnsi="Wingdings" w:cs="Wingdings"/>
                <w:color w:val="00B050"/>
                <w:sz w:val="22"/>
                <w:szCs w:val="22"/>
                <w:lang w:val="en"/>
              </w:rPr>
              <w:t>î</w:t>
            </w:r>
            <w:r w:rsidRPr="00E81269">
              <w:rPr>
                <w:color w:val="00B050"/>
                <w:sz w:val="22"/>
                <w:szCs w:val="22"/>
                <w:lang w:val="en"/>
              </w:rPr>
              <w:t xml:space="preserve"> </w:t>
            </w:r>
          </w:p>
        </w:tc>
        <w:tc>
          <w:tcPr>
            <w:tcW w:w="1709" w:type="dxa"/>
          </w:tcPr>
          <w:p w14:paraId="3C01C563" w14:textId="1741D228" w:rsidR="00910272" w:rsidRPr="0059103F" w:rsidRDefault="00910272" w:rsidP="00C84756">
            <w:pPr>
              <w:numPr>
                <w:ilvl w:val="0"/>
                <w:numId w:val="0"/>
              </w:numPr>
              <w:spacing w:before="0" w:after="60"/>
              <w:jc w:val="center"/>
              <w:textAlignment w:val="baseline"/>
              <w:rPr>
                <w:sz w:val="22"/>
                <w:szCs w:val="22"/>
                <w:lang w:val="en"/>
              </w:rPr>
            </w:pPr>
            <w:r>
              <w:rPr>
                <w:sz w:val="22"/>
                <w:szCs w:val="22"/>
                <w:lang w:val="en"/>
              </w:rPr>
              <w:t>-7</w:t>
            </w:r>
            <w:r w:rsidR="00C84756">
              <w:rPr>
                <w:sz w:val="22"/>
                <w:szCs w:val="22"/>
                <w:lang w:val="en"/>
              </w:rPr>
              <w:t>.</w:t>
            </w:r>
            <w:r>
              <w:rPr>
                <w:sz w:val="22"/>
                <w:szCs w:val="22"/>
                <w:lang w:val="en"/>
              </w:rPr>
              <w:t>79%</w:t>
            </w:r>
          </w:p>
        </w:tc>
      </w:tr>
      <w:tr w:rsidR="00910272" w:rsidRPr="0059103F" w14:paraId="17A795D2" w14:textId="586B9869" w:rsidTr="00910272">
        <w:trPr>
          <w:trHeight w:val="324"/>
        </w:trPr>
        <w:tc>
          <w:tcPr>
            <w:tcW w:w="3534" w:type="dxa"/>
            <w:shd w:val="clear" w:color="auto" w:fill="auto"/>
            <w:tcMar>
              <w:top w:w="72" w:type="dxa"/>
              <w:left w:w="144" w:type="dxa"/>
              <w:bottom w:w="72" w:type="dxa"/>
              <w:right w:w="144" w:type="dxa"/>
            </w:tcMar>
            <w:hideMark/>
          </w:tcPr>
          <w:p w14:paraId="6010939F"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Scope 2</w:t>
            </w:r>
          </w:p>
        </w:tc>
        <w:tc>
          <w:tcPr>
            <w:tcW w:w="1985" w:type="dxa"/>
            <w:shd w:val="clear" w:color="auto" w:fill="auto"/>
            <w:tcMar>
              <w:top w:w="72" w:type="dxa"/>
              <w:left w:w="144" w:type="dxa"/>
              <w:bottom w:w="72" w:type="dxa"/>
              <w:right w:w="144" w:type="dxa"/>
            </w:tcMar>
            <w:hideMark/>
          </w:tcPr>
          <w:p w14:paraId="76FC3365"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3,566</w:t>
            </w:r>
          </w:p>
        </w:tc>
        <w:tc>
          <w:tcPr>
            <w:tcW w:w="1984" w:type="dxa"/>
            <w:shd w:val="clear" w:color="auto" w:fill="auto"/>
            <w:tcMar>
              <w:top w:w="72" w:type="dxa"/>
              <w:left w:w="144" w:type="dxa"/>
              <w:bottom w:w="72" w:type="dxa"/>
              <w:right w:w="144" w:type="dxa"/>
            </w:tcMar>
            <w:hideMark/>
          </w:tcPr>
          <w:p w14:paraId="444C9477"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3,692</w:t>
            </w:r>
          </w:p>
        </w:tc>
        <w:tc>
          <w:tcPr>
            <w:tcW w:w="747" w:type="dxa"/>
            <w:shd w:val="clear" w:color="auto" w:fill="auto"/>
            <w:tcMar>
              <w:top w:w="72" w:type="dxa"/>
              <w:left w:w="144" w:type="dxa"/>
              <w:bottom w:w="72" w:type="dxa"/>
              <w:right w:w="144" w:type="dxa"/>
            </w:tcMar>
            <w:hideMark/>
          </w:tcPr>
          <w:p w14:paraId="48E86CED" w14:textId="77777777" w:rsidR="00910272" w:rsidRPr="00E81269" w:rsidRDefault="00910272" w:rsidP="0059103F">
            <w:pPr>
              <w:numPr>
                <w:ilvl w:val="0"/>
                <w:numId w:val="0"/>
              </w:numPr>
              <w:spacing w:before="0" w:after="60"/>
              <w:textAlignment w:val="baseline"/>
              <w:rPr>
                <w:color w:val="FFC000"/>
                <w:sz w:val="22"/>
                <w:szCs w:val="22"/>
                <w:lang w:val="en"/>
              </w:rPr>
            </w:pPr>
            <w:r w:rsidRPr="00E81269">
              <w:rPr>
                <w:rFonts w:ascii="Wingdings" w:eastAsia="Wingdings" w:hAnsi="Wingdings" w:cs="Wingdings"/>
                <w:color w:val="FFC000"/>
                <w:sz w:val="22"/>
                <w:szCs w:val="22"/>
                <w:lang w:val="en"/>
              </w:rPr>
              <w:t>ì</w:t>
            </w:r>
          </w:p>
        </w:tc>
        <w:tc>
          <w:tcPr>
            <w:tcW w:w="1709" w:type="dxa"/>
          </w:tcPr>
          <w:p w14:paraId="32C2D4E1" w14:textId="443FF941" w:rsidR="00910272" w:rsidRPr="0059103F" w:rsidRDefault="0032625F" w:rsidP="00C84756">
            <w:pPr>
              <w:numPr>
                <w:ilvl w:val="0"/>
                <w:numId w:val="0"/>
              </w:numPr>
              <w:spacing w:before="0" w:after="60"/>
              <w:jc w:val="center"/>
              <w:textAlignment w:val="baseline"/>
              <w:rPr>
                <w:sz w:val="22"/>
                <w:szCs w:val="22"/>
                <w:lang w:val="en"/>
              </w:rPr>
            </w:pPr>
            <w:r>
              <w:rPr>
                <w:sz w:val="22"/>
                <w:szCs w:val="22"/>
                <w:lang w:val="en"/>
              </w:rPr>
              <w:t>3</w:t>
            </w:r>
            <w:r w:rsidR="00C84756">
              <w:rPr>
                <w:sz w:val="22"/>
                <w:szCs w:val="22"/>
                <w:lang w:val="en"/>
              </w:rPr>
              <w:t>.</w:t>
            </w:r>
            <w:r>
              <w:rPr>
                <w:sz w:val="22"/>
                <w:szCs w:val="22"/>
                <w:lang w:val="en"/>
              </w:rPr>
              <w:t>35%</w:t>
            </w:r>
          </w:p>
        </w:tc>
      </w:tr>
      <w:tr w:rsidR="00910272" w:rsidRPr="0059103F" w14:paraId="53AEF24B" w14:textId="4B08F440" w:rsidTr="00910272">
        <w:trPr>
          <w:trHeight w:val="324"/>
        </w:trPr>
        <w:tc>
          <w:tcPr>
            <w:tcW w:w="3534" w:type="dxa"/>
            <w:shd w:val="clear" w:color="auto" w:fill="auto"/>
            <w:tcMar>
              <w:top w:w="72" w:type="dxa"/>
              <w:left w:w="144" w:type="dxa"/>
              <w:bottom w:w="72" w:type="dxa"/>
              <w:right w:w="144" w:type="dxa"/>
            </w:tcMar>
          </w:tcPr>
          <w:p w14:paraId="3A223271" w14:textId="718299C4" w:rsidR="00910272" w:rsidRPr="00C84756" w:rsidRDefault="00910272" w:rsidP="0059103F">
            <w:pPr>
              <w:numPr>
                <w:ilvl w:val="0"/>
                <w:numId w:val="0"/>
              </w:numPr>
              <w:spacing w:before="0" w:after="60"/>
              <w:textAlignment w:val="baseline"/>
              <w:rPr>
                <w:b/>
                <w:bCs/>
                <w:sz w:val="22"/>
                <w:szCs w:val="22"/>
                <w:lang w:val="en"/>
              </w:rPr>
            </w:pPr>
            <w:r w:rsidRPr="00C84756">
              <w:rPr>
                <w:b/>
                <w:bCs/>
                <w:sz w:val="22"/>
                <w:szCs w:val="22"/>
                <w:lang w:val="en"/>
              </w:rPr>
              <w:t>Total Scope 1 and 2</w:t>
            </w:r>
          </w:p>
        </w:tc>
        <w:tc>
          <w:tcPr>
            <w:tcW w:w="1985" w:type="dxa"/>
            <w:shd w:val="clear" w:color="auto" w:fill="auto"/>
            <w:tcMar>
              <w:top w:w="72" w:type="dxa"/>
              <w:left w:w="144" w:type="dxa"/>
              <w:bottom w:w="72" w:type="dxa"/>
              <w:right w:w="144" w:type="dxa"/>
            </w:tcMar>
          </w:tcPr>
          <w:p w14:paraId="4CF5DE49" w14:textId="1FB68873" w:rsidR="00910272" w:rsidRPr="00C84756" w:rsidRDefault="00910272" w:rsidP="0059103F">
            <w:pPr>
              <w:numPr>
                <w:ilvl w:val="0"/>
                <w:numId w:val="0"/>
              </w:numPr>
              <w:spacing w:before="0" w:after="60"/>
              <w:textAlignment w:val="baseline"/>
              <w:rPr>
                <w:b/>
                <w:bCs/>
                <w:sz w:val="22"/>
                <w:szCs w:val="22"/>
                <w:lang w:val="en"/>
              </w:rPr>
            </w:pPr>
            <w:r w:rsidRPr="00C84756">
              <w:rPr>
                <w:b/>
                <w:bCs/>
                <w:sz w:val="22"/>
                <w:szCs w:val="22"/>
                <w:lang w:val="en"/>
              </w:rPr>
              <w:t>7</w:t>
            </w:r>
            <w:r w:rsidR="00AD5F0C">
              <w:rPr>
                <w:b/>
                <w:bCs/>
                <w:sz w:val="22"/>
                <w:szCs w:val="22"/>
                <w:lang w:val="en"/>
              </w:rPr>
              <w:t>,</w:t>
            </w:r>
            <w:r w:rsidRPr="00C84756">
              <w:rPr>
                <w:b/>
                <w:bCs/>
                <w:sz w:val="22"/>
                <w:szCs w:val="22"/>
                <w:lang w:val="en"/>
              </w:rPr>
              <w:t>070</w:t>
            </w:r>
          </w:p>
        </w:tc>
        <w:tc>
          <w:tcPr>
            <w:tcW w:w="1984" w:type="dxa"/>
            <w:shd w:val="clear" w:color="auto" w:fill="auto"/>
            <w:tcMar>
              <w:top w:w="72" w:type="dxa"/>
              <w:left w:w="144" w:type="dxa"/>
              <w:bottom w:w="72" w:type="dxa"/>
              <w:right w:w="144" w:type="dxa"/>
            </w:tcMar>
          </w:tcPr>
          <w:p w14:paraId="0F5D6A11" w14:textId="2A8732D9" w:rsidR="00910272" w:rsidRPr="00C84756" w:rsidRDefault="00910272" w:rsidP="0059103F">
            <w:pPr>
              <w:numPr>
                <w:ilvl w:val="0"/>
                <w:numId w:val="0"/>
              </w:numPr>
              <w:spacing w:before="0" w:after="60"/>
              <w:textAlignment w:val="baseline"/>
              <w:rPr>
                <w:b/>
                <w:bCs/>
                <w:sz w:val="22"/>
                <w:szCs w:val="22"/>
                <w:lang w:val="en"/>
              </w:rPr>
            </w:pPr>
            <w:r w:rsidRPr="00C84756">
              <w:rPr>
                <w:b/>
                <w:bCs/>
                <w:sz w:val="22"/>
                <w:szCs w:val="22"/>
                <w:lang w:val="en"/>
              </w:rPr>
              <w:t>6</w:t>
            </w:r>
            <w:r w:rsidR="00AD5F0C">
              <w:rPr>
                <w:b/>
                <w:bCs/>
                <w:sz w:val="22"/>
                <w:szCs w:val="22"/>
                <w:lang w:val="en"/>
              </w:rPr>
              <w:t>,</w:t>
            </w:r>
            <w:r w:rsidRPr="00C84756">
              <w:rPr>
                <w:b/>
                <w:bCs/>
                <w:sz w:val="22"/>
                <w:szCs w:val="22"/>
                <w:lang w:val="en"/>
              </w:rPr>
              <w:t>923</w:t>
            </w:r>
          </w:p>
        </w:tc>
        <w:tc>
          <w:tcPr>
            <w:tcW w:w="747" w:type="dxa"/>
            <w:shd w:val="clear" w:color="auto" w:fill="auto"/>
            <w:tcMar>
              <w:top w:w="72" w:type="dxa"/>
              <w:left w:w="144" w:type="dxa"/>
              <w:bottom w:w="72" w:type="dxa"/>
              <w:right w:w="144" w:type="dxa"/>
            </w:tcMar>
          </w:tcPr>
          <w:p w14:paraId="0DBAD5F6" w14:textId="6565FFD2" w:rsidR="00910272" w:rsidRPr="00C84756" w:rsidRDefault="009532AC" w:rsidP="0059103F">
            <w:pPr>
              <w:numPr>
                <w:ilvl w:val="0"/>
                <w:numId w:val="0"/>
              </w:numPr>
              <w:spacing w:before="0" w:after="60"/>
              <w:textAlignment w:val="baseline"/>
              <w:rPr>
                <w:b/>
                <w:bCs/>
                <w:sz w:val="22"/>
                <w:szCs w:val="22"/>
                <w:lang w:val="en"/>
              </w:rPr>
            </w:pPr>
            <w:r w:rsidRPr="00E81269">
              <w:rPr>
                <w:rFonts w:ascii="Wingdings" w:eastAsia="Wingdings" w:hAnsi="Wingdings" w:cs="Wingdings"/>
                <w:color w:val="00B050"/>
                <w:sz w:val="22"/>
                <w:szCs w:val="22"/>
                <w:lang w:val="en"/>
              </w:rPr>
              <w:t>î</w:t>
            </w:r>
          </w:p>
        </w:tc>
        <w:tc>
          <w:tcPr>
            <w:tcW w:w="1709" w:type="dxa"/>
          </w:tcPr>
          <w:p w14:paraId="318F2340" w14:textId="65C3C4B0" w:rsidR="00910272" w:rsidRPr="00C84756" w:rsidRDefault="0032625F" w:rsidP="00C84756">
            <w:pPr>
              <w:numPr>
                <w:ilvl w:val="0"/>
                <w:numId w:val="0"/>
              </w:numPr>
              <w:spacing w:before="0" w:after="60"/>
              <w:jc w:val="center"/>
              <w:textAlignment w:val="baseline"/>
              <w:rPr>
                <w:b/>
                <w:bCs/>
                <w:sz w:val="22"/>
                <w:szCs w:val="22"/>
                <w:lang w:val="en"/>
              </w:rPr>
            </w:pPr>
            <w:r w:rsidRPr="00C84756">
              <w:rPr>
                <w:b/>
                <w:bCs/>
                <w:sz w:val="22"/>
                <w:szCs w:val="22"/>
                <w:lang w:val="en"/>
              </w:rPr>
              <w:t>-2</w:t>
            </w:r>
            <w:r w:rsidR="00C84756" w:rsidRPr="00C84756">
              <w:rPr>
                <w:b/>
                <w:bCs/>
                <w:sz w:val="22"/>
                <w:szCs w:val="22"/>
                <w:lang w:val="en"/>
              </w:rPr>
              <w:t>.</w:t>
            </w:r>
            <w:r w:rsidRPr="00C84756">
              <w:rPr>
                <w:b/>
                <w:bCs/>
                <w:sz w:val="22"/>
                <w:szCs w:val="22"/>
                <w:lang w:val="en"/>
              </w:rPr>
              <w:t>08%</w:t>
            </w:r>
          </w:p>
        </w:tc>
      </w:tr>
      <w:tr w:rsidR="00910272" w:rsidRPr="0059103F" w14:paraId="5BBC3835" w14:textId="7BBED35E" w:rsidTr="00910272">
        <w:trPr>
          <w:trHeight w:val="324"/>
        </w:trPr>
        <w:tc>
          <w:tcPr>
            <w:tcW w:w="3534" w:type="dxa"/>
            <w:shd w:val="clear" w:color="auto" w:fill="auto"/>
            <w:tcMar>
              <w:top w:w="72" w:type="dxa"/>
              <w:left w:w="144" w:type="dxa"/>
              <w:bottom w:w="72" w:type="dxa"/>
              <w:right w:w="144" w:type="dxa"/>
            </w:tcMar>
            <w:hideMark/>
          </w:tcPr>
          <w:p w14:paraId="132B44FA"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Scope 3</w:t>
            </w:r>
          </w:p>
        </w:tc>
        <w:tc>
          <w:tcPr>
            <w:tcW w:w="1985" w:type="dxa"/>
            <w:shd w:val="clear" w:color="auto" w:fill="auto"/>
            <w:tcMar>
              <w:top w:w="72" w:type="dxa"/>
              <w:left w:w="144" w:type="dxa"/>
              <w:bottom w:w="72" w:type="dxa"/>
              <w:right w:w="144" w:type="dxa"/>
            </w:tcMar>
            <w:hideMark/>
          </w:tcPr>
          <w:p w14:paraId="7E01DA52"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40,017</w:t>
            </w:r>
          </w:p>
        </w:tc>
        <w:tc>
          <w:tcPr>
            <w:tcW w:w="1984" w:type="dxa"/>
            <w:shd w:val="clear" w:color="auto" w:fill="auto"/>
            <w:tcMar>
              <w:top w:w="72" w:type="dxa"/>
              <w:left w:w="144" w:type="dxa"/>
              <w:bottom w:w="72" w:type="dxa"/>
              <w:right w:w="144" w:type="dxa"/>
            </w:tcMar>
            <w:hideMark/>
          </w:tcPr>
          <w:p w14:paraId="28218223"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39,949</w:t>
            </w:r>
          </w:p>
        </w:tc>
        <w:tc>
          <w:tcPr>
            <w:tcW w:w="747" w:type="dxa"/>
            <w:shd w:val="clear" w:color="auto" w:fill="auto"/>
            <w:tcMar>
              <w:top w:w="72" w:type="dxa"/>
              <w:left w:w="144" w:type="dxa"/>
              <w:bottom w:w="72" w:type="dxa"/>
              <w:right w:w="144" w:type="dxa"/>
            </w:tcMar>
            <w:hideMark/>
          </w:tcPr>
          <w:p w14:paraId="288A466B" w14:textId="77777777" w:rsidR="00910272" w:rsidRPr="00E81269" w:rsidRDefault="00910272" w:rsidP="0059103F">
            <w:pPr>
              <w:numPr>
                <w:ilvl w:val="0"/>
                <w:numId w:val="0"/>
              </w:numPr>
              <w:spacing w:before="0" w:after="60"/>
              <w:textAlignment w:val="baseline"/>
              <w:rPr>
                <w:color w:val="FFC000"/>
                <w:sz w:val="22"/>
                <w:szCs w:val="22"/>
                <w:lang w:val="en"/>
              </w:rPr>
            </w:pPr>
            <w:r w:rsidRPr="00E81269">
              <w:rPr>
                <w:rFonts w:ascii="Wingdings" w:eastAsia="Wingdings" w:hAnsi="Wingdings" w:cs="Wingdings"/>
                <w:color w:val="FFC000"/>
                <w:sz w:val="22"/>
                <w:szCs w:val="22"/>
                <w:lang w:val="en"/>
              </w:rPr>
              <w:t>è</w:t>
            </w:r>
          </w:p>
        </w:tc>
        <w:tc>
          <w:tcPr>
            <w:tcW w:w="1709" w:type="dxa"/>
          </w:tcPr>
          <w:p w14:paraId="62BFC84A" w14:textId="79990B4D" w:rsidR="0032625F" w:rsidRPr="0059103F" w:rsidRDefault="0032625F" w:rsidP="00C84756">
            <w:pPr>
              <w:numPr>
                <w:ilvl w:val="0"/>
                <w:numId w:val="0"/>
              </w:numPr>
              <w:spacing w:before="0" w:after="60"/>
              <w:jc w:val="center"/>
              <w:textAlignment w:val="baseline"/>
              <w:rPr>
                <w:sz w:val="22"/>
                <w:szCs w:val="22"/>
                <w:lang w:val="en"/>
              </w:rPr>
            </w:pPr>
            <w:r>
              <w:rPr>
                <w:sz w:val="22"/>
                <w:szCs w:val="22"/>
                <w:lang w:val="en"/>
              </w:rPr>
              <w:t>-0</w:t>
            </w:r>
            <w:r w:rsidR="00C84756">
              <w:rPr>
                <w:sz w:val="22"/>
                <w:szCs w:val="22"/>
                <w:lang w:val="en"/>
              </w:rPr>
              <w:t>.</w:t>
            </w:r>
            <w:r>
              <w:rPr>
                <w:sz w:val="22"/>
                <w:szCs w:val="22"/>
                <w:lang w:val="en"/>
              </w:rPr>
              <w:t>17%</w:t>
            </w:r>
          </w:p>
        </w:tc>
      </w:tr>
      <w:tr w:rsidR="00910272" w:rsidRPr="0059103F" w14:paraId="2D0CDF18" w14:textId="28D465DB" w:rsidTr="00910272">
        <w:trPr>
          <w:trHeight w:val="324"/>
        </w:trPr>
        <w:tc>
          <w:tcPr>
            <w:tcW w:w="3534" w:type="dxa"/>
            <w:shd w:val="clear" w:color="auto" w:fill="auto"/>
            <w:tcMar>
              <w:top w:w="72" w:type="dxa"/>
              <w:left w:w="144" w:type="dxa"/>
              <w:bottom w:w="72" w:type="dxa"/>
              <w:right w:w="144" w:type="dxa"/>
            </w:tcMar>
            <w:hideMark/>
          </w:tcPr>
          <w:p w14:paraId="5EC53214"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Offset carbon</w:t>
            </w:r>
          </w:p>
        </w:tc>
        <w:tc>
          <w:tcPr>
            <w:tcW w:w="1985" w:type="dxa"/>
            <w:shd w:val="clear" w:color="auto" w:fill="auto"/>
            <w:tcMar>
              <w:top w:w="72" w:type="dxa"/>
              <w:left w:w="144" w:type="dxa"/>
              <w:bottom w:w="72" w:type="dxa"/>
              <w:right w:w="144" w:type="dxa"/>
            </w:tcMar>
            <w:hideMark/>
          </w:tcPr>
          <w:p w14:paraId="4E1F0786"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0</w:t>
            </w:r>
          </w:p>
        </w:tc>
        <w:tc>
          <w:tcPr>
            <w:tcW w:w="1984" w:type="dxa"/>
            <w:shd w:val="clear" w:color="auto" w:fill="auto"/>
            <w:tcMar>
              <w:top w:w="72" w:type="dxa"/>
              <w:left w:w="144" w:type="dxa"/>
              <w:bottom w:w="72" w:type="dxa"/>
              <w:right w:w="144" w:type="dxa"/>
            </w:tcMar>
            <w:hideMark/>
          </w:tcPr>
          <w:p w14:paraId="17708CDA" w14:textId="77777777" w:rsidR="00910272" w:rsidRPr="0059103F" w:rsidRDefault="00910272" w:rsidP="0059103F">
            <w:pPr>
              <w:numPr>
                <w:ilvl w:val="0"/>
                <w:numId w:val="0"/>
              </w:numPr>
              <w:spacing w:before="0" w:after="60"/>
              <w:textAlignment w:val="baseline"/>
              <w:rPr>
                <w:sz w:val="22"/>
                <w:szCs w:val="22"/>
                <w:lang w:val="en"/>
              </w:rPr>
            </w:pPr>
            <w:r w:rsidRPr="0059103F">
              <w:rPr>
                <w:sz w:val="22"/>
                <w:szCs w:val="22"/>
                <w:lang w:val="en"/>
              </w:rPr>
              <w:t>0</w:t>
            </w:r>
          </w:p>
        </w:tc>
        <w:tc>
          <w:tcPr>
            <w:tcW w:w="747" w:type="dxa"/>
            <w:shd w:val="clear" w:color="auto" w:fill="auto"/>
            <w:tcMar>
              <w:top w:w="72" w:type="dxa"/>
              <w:left w:w="144" w:type="dxa"/>
              <w:bottom w:w="72" w:type="dxa"/>
              <w:right w:w="144" w:type="dxa"/>
            </w:tcMar>
            <w:hideMark/>
          </w:tcPr>
          <w:p w14:paraId="53D8539F" w14:textId="77777777" w:rsidR="00910272" w:rsidRPr="00E81269" w:rsidRDefault="00910272" w:rsidP="0059103F">
            <w:pPr>
              <w:numPr>
                <w:ilvl w:val="0"/>
                <w:numId w:val="0"/>
              </w:numPr>
              <w:spacing w:before="0" w:after="60"/>
              <w:textAlignment w:val="baseline"/>
              <w:rPr>
                <w:color w:val="FFC000"/>
                <w:sz w:val="22"/>
                <w:szCs w:val="22"/>
                <w:lang w:val="en"/>
              </w:rPr>
            </w:pPr>
            <w:r w:rsidRPr="00E81269">
              <w:rPr>
                <w:rFonts w:ascii="Wingdings" w:eastAsia="Wingdings" w:hAnsi="Wingdings" w:cs="Wingdings"/>
                <w:color w:val="FFC000"/>
                <w:sz w:val="22"/>
                <w:szCs w:val="22"/>
                <w:lang w:val="en"/>
              </w:rPr>
              <w:t>è</w:t>
            </w:r>
          </w:p>
        </w:tc>
        <w:tc>
          <w:tcPr>
            <w:tcW w:w="1709" w:type="dxa"/>
          </w:tcPr>
          <w:p w14:paraId="77543F3F" w14:textId="7B6BECCD" w:rsidR="00910272" w:rsidRPr="0059103F" w:rsidRDefault="00C84756" w:rsidP="00C84756">
            <w:pPr>
              <w:numPr>
                <w:ilvl w:val="0"/>
                <w:numId w:val="0"/>
              </w:numPr>
              <w:spacing w:before="0" w:after="60"/>
              <w:jc w:val="center"/>
              <w:textAlignment w:val="baseline"/>
              <w:rPr>
                <w:sz w:val="22"/>
                <w:szCs w:val="22"/>
                <w:lang w:val="en"/>
              </w:rPr>
            </w:pPr>
            <w:r>
              <w:rPr>
                <w:sz w:val="22"/>
                <w:szCs w:val="22"/>
                <w:lang w:val="en"/>
              </w:rPr>
              <w:t>0</w:t>
            </w:r>
          </w:p>
        </w:tc>
      </w:tr>
      <w:tr w:rsidR="00910272" w:rsidRPr="0059103F" w14:paraId="30F6768E" w14:textId="0021BAAA" w:rsidTr="00910272">
        <w:trPr>
          <w:trHeight w:val="324"/>
        </w:trPr>
        <w:tc>
          <w:tcPr>
            <w:tcW w:w="3534" w:type="dxa"/>
            <w:shd w:val="clear" w:color="auto" w:fill="auto"/>
            <w:tcMar>
              <w:top w:w="72" w:type="dxa"/>
              <w:left w:w="144" w:type="dxa"/>
              <w:bottom w:w="72" w:type="dxa"/>
              <w:right w:w="144" w:type="dxa"/>
            </w:tcMar>
            <w:hideMark/>
          </w:tcPr>
          <w:p w14:paraId="61D75783" w14:textId="77777777" w:rsidR="00910272" w:rsidRPr="00DE2004" w:rsidRDefault="00910272" w:rsidP="0059103F">
            <w:pPr>
              <w:numPr>
                <w:ilvl w:val="0"/>
                <w:numId w:val="0"/>
              </w:numPr>
              <w:spacing w:before="0" w:after="60"/>
              <w:textAlignment w:val="baseline"/>
              <w:rPr>
                <w:b/>
                <w:bCs/>
                <w:sz w:val="22"/>
                <w:szCs w:val="22"/>
                <w:lang w:val="en"/>
              </w:rPr>
            </w:pPr>
            <w:r w:rsidRPr="00DE2004">
              <w:rPr>
                <w:b/>
                <w:bCs/>
                <w:sz w:val="22"/>
                <w:szCs w:val="22"/>
                <w:lang w:val="en"/>
              </w:rPr>
              <w:t xml:space="preserve">Total </w:t>
            </w:r>
          </w:p>
        </w:tc>
        <w:tc>
          <w:tcPr>
            <w:tcW w:w="1985" w:type="dxa"/>
            <w:shd w:val="clear" w:color="auto" w:fill="auto"/>
            <w:tcMar>
              <w:top w:w="72" w:type="dxa"/>
              <w:left w:w="144" w:type="dxa"/>
              <w:bottom w:w="72" w:type="dxa"/>
              <w:right w:w="144" w:type="dxa"/>
            </w:tcMar>
            <w:hideMark/>
          </w:tcPr>
          <w:p w14:paraId="1D45147C" w14:textId="77777777" w:rsidR="00910272" w:rsidRPr="00DE2004" w:rsidRDefault="00910272" w:rsidP="0059103F">
            <w:pPr>
              <w:numPr>
                <w:ilvl w:val="0"/>
                <w:numId w:val="0"/>
              </w:numPr>
              <w:spacing w:before="0" w:after="60"/>
              <w:textAlignment w:val="baseline"/>
              <w:rPr>
                <w:b/>
                <w:bCs/>
                <w:sz w:val="22"/>
                <w:szCs w:val="22"/>
                <w:lang w:val="en"/>
              </w:rPr>
            </w:pPr>
            <w:r w:rsidRPr="00DE2004">
              <w:rPr>
                <w:b/>
                <w:bCs/>
                <w:sz w:val="22"/>
                <w:szCs w:val="22"/>
                <w:lang w:val="en"/>
              </w:rPr>
              <w:t>47,087</w:t>
            </w:r>
          </w:p>
        </w:tc>
        <w:tc>
          <w:tcPr>
            <w:tcW w:w="1984" w:type="dxa"/>
            <w:shd w:val="clear" w:color="auto" w:fill="auto"/>
            <w:tcMar>
              <w:top w:w="72" w:type="dxa"/>
              <w:left w:w="144" w:type="dxa"/>
              <w:bottom w:w="72" w:type="dxa"/>
              <w:right w:w="144" w:type="dxa"/>
            </w:tcMar>
            <w:hideMark/>
          </w:tcPr>
          <w:p w14:paraId="7E2F8EFE" w14:textId="77777777" w:rsidR="00910272" w:rsidRPr="00DE2004" w:rsidRDefault="00910272" w:rsidP="0059103F">
            <w:pPr>
              <w:numPr>
                <w:ilvl w:val="0"/>
                <w:numId w:val="0"/>
              </w:numPr>
              <w:spacing w:before="0" w:after="60"/>
              <w:textAlignment w:val="baseline"/>
              <w:rPr>
                <w:b/>
                <w:bCs/>
                <w:sz w:val="22"/>
                <w:szCs w:val="22"/>
                <w:lang w:val="en"/>
              </w:rPr>
            </w:pPr>
            <w:r w:rsidRPr="00DE2004">
              <w:rPr>
                <w:b/>
                <w:bCs/>
                <w:sz w:val="22"/>
                <w:szCs w:val="22"/>
                <w:lang w:val="en"/>
              </w:rPr>
              <w:t>46,872</w:t>
            </w:r>
          </w:p>
        </w:tc>
        <w:tc>
          <w:tcPr>
            <w:tcW w:w="747" w:type="dxa"/>
            <w:shd w:val="clear" w:color="auto" w:fill="auto"/>
            <w:tcMar>
              <w:top w:w="72" w:type="dxa"/>
              <w:left w:w="144" w:type="dxa"/>
              <w:bottom w:w="72" w:type="dxa"/>
              <w:right w:w="144" w:type="dxa"/>
            </w:tcMar>
            <w:hideMark/>
          </w:tcPr>
          <w:p w14:paraId="018D9E17" w14:textId="77777777" w:rsidR="00910272" w:rsidRPr="00DE2004" w:rsidRDefault="00910272" w:rsidP="0059103F">
            <w:pPr>
              <w:numPr>
                <w:ilvl w:val="0"/>
                <w:numId w:val="0"/>
              </w:numPr>
              <w:spacing w:before="0" w:after="60"/>
              <w:textAlignment w:val="baseline"/>
              <w:rPr>
                <w:b/>
                <w:bCs/>
                <w:sz w:val="22"/>
                <w:szCs w:val="22"/>
                <w:lang w:val="en"/>
              </w:rPr>
            </w:pPr>
            <w:r w:rsidRPr="00DE2004">
              <w:rPr>
                <w:rFonts w:ascii="Wingdings" w:eastAsia="Wingdings" w:hAnsi="Wingdings" w:cs="Wingdings"/>
                <w:b/>
                <w:bCs/>
                <w:color w:val="00B050"/>
                <w:sz w:val="22"/>
                <w:szCs w:val="22"/>
                <w:lang w:val="en"/>
              </w:rPr>
              <w:t>î</w:t>
            </w:r>
          </w:p>
        </w:tc>
        <w:tc>
          <w:tcPr>
            <w:tcW w:w="1709" w:type="dxa"/>
          </w:tcPr>
          <w:p w14:paraId="2902CF32" w14:textId="4141266D" w:rsidR="00910272" w:rsidRPr="00DE2004" w:rsidRDefault="00E04F45" w:rsidP="00C84756">
            <w:pPr>
              <w:numPr>
                <w:ilvl w:val="0"/>
                <w:numId w:val="0"/>
              </w:numPr>
              <w:spacing w:before="0" w:after="60"/>
              <w:jc w:val="center"/>
              <w:textAlignment w:val="baseline"/>
              <w:rPr>
                <w:b/>
                <w:bCs/>
                <w:sz w:val="22"/>
                <w:szCs w:val="22"/>
                <w:lang w:val="en"/>
              </w:rPr>
            </w:pPr>
            <w:r w:rsidRPr="00DE2004">
              <w:rPr>
                <w:b/>
                <w:bCs/>
                <w:sz w:val="22"/>
                <w:szCs w:val="22"/>
                <w:lang w:val="en"/>
              </w:rPr>
              <w:t>-0</w:t>
            </w:r>
            <w:r w:rsidR="00C84756" w:rsidRPr="00DE2004">
              <w:rPr>
                <w:b/>
                <w:bCs/>
                <w:sz w:val="22"/>
                <w:szCs w:val="22"/>
                <w:lang w:val="en"/>
              </w:rPr>
              <w:t>.</w:t>
            </w:r>
            <w:r w:rsidRPr="00DE2004">
              <w:rPr>
                <w:b/>
                <w:bCs/>
                <w:sz w:val="22"/>
                <w:szCs w:val="22"/>
                <w:lang w:val="en"/>
              </w:rPr>
              <w:t>45%</w:t>
            </w:r>
          </w:p>
        </w:tc>
      </w:tr>
    </w:tbl>
    <w:p w14:paraId="141203BC" w14:textId="77777777" w:rsidR="00A46998" w:rsidRPr="0059103F" w:rsidRDefault="00A46998" w:rsidP="0059103F">
      <w:pPr>
        <w:numPr>
          <w:ilvl w:val="0"/>
          <w:numId w:val="0"/>
        </w:numPr>
        <w:spacing w:before="0" w:after="60"/>
        <w:textAlignment w:val="baseline"/>
        <w:rPr>
          <w:sz w:val="22"/>
          <w:szCs w:val="22"/>
          <w:lang w:val="en"/>
        </w:rPr>
      </w:pPr>
    </w:p>
    <w:p w14:paraId="42F57E86" w14:textId="7E293ED4" w:rsidR="009E294F" w:rsidRPr="00C7330E" w:rsidRDefault="009E294F" w:rsidP="009E294F">
      <w:pPr>
        <w:pStyle w:val="ListBullet"/>
        <w:numPr>
          <w:ilvl w:val="0"/>
          <w:numId w:val="0"/>
        </w:numPr>
      </w:pPr>
      <w:r w:rsidRPr="00C7330E">
        <w:t xml:space="preserve">We </w:t>
      </w:r>
      <w:r w:rsidR="00497BD6">
        <w:t>keep this information under constant review</w:t>
      </w:r>
      <w:r w:rsidRPr="00C7330E">
        <w:t>.</w:t>
      </w:r>
    </w:p>
    <w:p w14:paraId="5DBC613D" w14:textId="77777777" w:rsidR="00914694" w:rsidRDefault="009E294F" w:rsidP="00914694">
      <w:pPr>
        <w:pStyle w:val="ListBullet"/>
        <w:numPr>
          <w:ilvl w:val="0"/>
          <w:numId w:val="0"/>
        </w:numPr>
        <w:rPr>
          <w:rStyle w:val="Hyperlink"/>
        </w:rPr>
      </w:pPr>
      <w:r w:rsidRPr="00C7330E">
        <w:t xml:space="preserve">Data relating to city wide emissions is available in the </w:t>
      </w:r>
      <w:hyperlink r:id="rId13" w:history="1">
        <w:r w:rsidRPr="00C71264">
          <w:rPr>
            <w:rStyle w:val="Hyperlink"/>
          </w:rPr>
          <w:t>https://climateconnectionsplymouth.co.uk/wp-content/uploads/2023/07/Plymouth-Greenhouse-Gas-Monitoring-Report-2022-Accessible.pdf</w:t>
        </w:r>
      </w:hyperlink>
      <w:bookmarkStart w:id="0" w:name="_Hlk160522668"/>
    </w:p>
    <w:p w14:paraId="45B2AD97" w14:textId="77777777" w:rsidR="00914694" w:rsidRDefault="00914694" w:rsidP="00914694">
      <w:pPr>
        <w:pStyle w:val="ListBullet"/>
        <w:numPr>
          <w:ilvl w:val="0"/>
          <w:numId w:val="0"/>
        </w:numPr>
        <w:rPr>
          <w:rStyle w:val="Hyperlink"/>
        </w:rPr>
      </w:pPr>
    </w:p>
    <w:p w14:paraId="3D338F20" w14:textId="77777777" w:rsidR="00914694" w:rsidRDefault="009E294F" w:rsidP="76352147">
      <w:pPr>
        <w:pStyle w:val="Pagesubheading"/>
      </w:pPr>
      <w:r>
        <w:t>What have we already delivered from our previous plans?</w:t>
      </w:r>
      <w:r w:rsidR="23B275CA">
        <w:t xml:space="preserve"> </w:t>
      </w:r>
    </w:p>
    <w:p w14:paraId="2539D27E" w14:textId="093C094E" w:rsidR="00E448BA" w:rsidRDefault="009E294F" w:rsidP="00B858AE">
      <w:pPr>
        <w:pStyle w:val="ListBullet"/>
        <w:numPr>
          <w:ilvl w:val="0"/>
          <w:numId w:val="0"/>
        </w:numPr>
      </w:pPr>
      <w:r w:rsidRPr="35F85DF3">
        <w:rPr>
          <w:lang w:val="en-US"/>
        </w:rPr>
        <w:t xml:space="preserve">The City Council acknowledges that achieving net zero, both as an organisation and as a city is a journey. It </w:t>
      </w:r>
      <w:r w:rsidR="001149ED" w:rsidRPr="35F85DF3">
        <w:rPr>
          <w:lang w:val="en-US"/>
        </w:rPr>
        <w:t>cannot</w:t>
      </w:r>
      <w:r w:rsidRPr="35F85DF3">
        <w:rPr>
          <w:lang w:val="en-US"/>
        </w:rPr>
        <w:t xml:space="preserve"> be achieved overnight</w:t>
      </w:r>
      <w:r w:rsidR="00AB3B84" w:rsidRPr="35F85DF3">
        <w:rPr>
          <w:lang w:val="en-US"/>
        </w:rPr>
        <w:t xml:space="preserve">. </w:t>
      </w:r>
      <w:r w:rsidRPr="35F85DF3">
        <w:rPr>
          <w:lang w:val="en-US"/>
        </w:rPr>
        <w:t>However, since our first action plans in 2019 we have made significant steps on that journey.</w:t>
      </w:r>
    </w:p>
    <w:p w14:paraId="59BF9D07" w14:textId="7A9AA156" w:rsidR="00B858AE" w:rsidRDefault="00E448BA" w:rsidP="00B858AE">
      <w:pPr>
        <w:pStyle w:val="ListBullet"/>
        <w:numPr>
          <w:ilvl w:val="0"/>
          <w:numId w:val="0"/>
        </w:numPr>
      </w:pPr>
      <w:r>
        <w:t>The following are examples</w:t>
      </w:r>
      <w:r w:rsidR="009E294F" w:rsidRPr="35F85DF3">
        <w:rPr>
          <w:lang w:val="en-US"/>
        </w:rPr>
        <w:t xml:space="preserve"> of actions we have already taken to drive down emissions</w:t>
      </w:r>
      <w:r w:rsidR="001007C9">
        <w:rPr>
          <w:lang w:val="en-US"/>
        </w:rPr>
        <w:t xml:space="preserve"> across </w:t>
      </w:r>
      <w:r w:rsidR="001149ED">
        <w:rPr>
          <w:lang w:val="en-US"/>
        </w:rPr>
        <w:t>our</w:t>
      </w:r>
      <w:r w:rsidR="001007C9">
        <w:rPr>
          <w:lang w:val="en-US"/>
        </w:rPr>
        <w:t xml:space="preserve"> organisation and in the city</w:t>
      </w:r>
      <w:r>
        <w:rPr>
          <w:lang w:val="en-US"/>
        </w:rPr>
        <w:t>.</w:t>
      </w:r>
    </w:p>
    <w:p w14:paraId="21C773F1" w14:textId="77777777" w:rsidR="00B858AE" w:rsidRDefault="00F6133E" w:rsidP="00B858AE">
      <w:pPr>
        <w:pStyle w:val="ListBullet"/>
        <w:numPr>
          <w:ilvl w:val="0"/>
          <w:numId w:val="0"/>
        </w:numPr>
        <w:rPr>
          <w:b/>
          <w:bCs/>
          <w:kern w:val="32"/>
          <w:szCs w:val="32"/>
        </w:rPr>
      </w:pPr>
      <w:r w:rsidRPr="00F6133E">
        <w:rPr>
          <w:b/>
          <w:bCs/>
          <w:kern w:val="32"/>
          <w:szCs w:val="32"/>
        </w:rPr>
        <w:t>Beryl e-bikes</w:t>
      </w:r>
    </w:p>
    <w:p w14:paraId="02814540" w14:textId="34AD2CED" w:rsidR="00B858AE" w:rsidRPr="009F0981" w:rsidRDefault="00167717" w:rsidP="00860631">
      <w:pPr>
        <w:pStyle w:val="ListBullet"/>
      </w:pPr>
      <w:r>
        <w:t>We expanded t</w:t>
      </w:r>
      <w:r w:rsidR="0013563C">
        <w:t>he e</w:t>
      </w:r>
      <w:r w:rsidR="00F6133E" w:rsidRPr="00F6133E">
        <w:t xml:space="preserve">-bike network to 115 locations </w:t>
      </w:r>
      <w:r w:rsidR="00D223B8">
        <w:t>and</w:t>
      </w:r>
      <w:r w:rsidR="0013563C">
        <w:t xml:space="preserve"> </w:t>
      </w:r>
      <w:r w:rsidR="00F6133E" w:rsidRPr="00F6133E">
        <w:t>510 e-bikes</w:t>
      </w:r>
      <w:r w:rsidR="00D223B8">
        <w:t xml:space="preserve"> across Plymouth</w:t>
      </w:r>
      <w:r w:rsidR="0013563C">
        <w:t xml:space="preserve">. </w:t>
      </w:r>
    </w:p>
    <w:p w14:paraId="62A165B5" w14:textId="0D6AC616" w:rsidR="00B858AE" w:rsidRPr="009F0981" w:rsidRDefault="00D223B8" w:rsidP="009F0981">
      <w:pPr>
        <w:pStyle w:val="ListBullet"/>
      </w:pPr>
      <w:r w:rsidRPr="35F85DF3">
        <w:rPr>
          <w:lang w:val="en-US"/>
        </w:rPr>
        <w:t>Beryl bikes reached</w:t>
      </w:r>
      <w:r w:rsidR="00245055" w:rsidRPr="35F85DF3">
        <w:rPr>
          <w:lang w:val="en-US"/>
        </w:rPr>
        <w:t xml:space="preserve"> </w:t>
      </w:r>
      <w:r w:rsidR="00F6133E" w:rsidRPr="35F85DF3">
        <w:rPr>
          <w:lang w:val="en-US"/>
        </w:rPr>
        <w:t>26,000 registered users</w:t>
      </w:r>
      <w:r w:rsidR="00245055" w:rsidRPr="35F85DF3">
        <w:rPr>
          <w:lang w:val="en-US"/>
        </w:rPr>
        <w:t>, who</w:t>
      </w:r>
      <w:r w:rsidR="00F6133E" w:rsidRPr="35F85DF3">
        <w:rPr>
          <w:lang w:val="en-US"/>
        </w:rPr>
        <w:t xml:space="preserve"> </w:t>
      </w:r>
      <w:r w:rsidR="00146E2A" w:rsidRPr="35F85DF3">
        <w:rPr>
          <w:lang w:val="en-US"/>
        </w:rPr>
        <w:t>collectively took nearly</w:t>
      </w:r>
      <w:r w:rsidR="00F6133E" w:rsidRPr="35F85DF3">
        <w:rPr>
          <w:lang w:val="en-US"/>
        </w:rPr>
        <w:t xml:space="preserve"> 200,000 e-bike journeys</w:t>
      </w:r>
      <w:r w:rsidR="00D810AC" w:rsidRPr="35F85DF3">
        <w:rPr>
          <w:lang w:val="en-US"/>
        </w:rPr>
        <w:t>.</w:t>
      </w:r>
    </w:p>
    <w:p w14:paraId="4AE2FE3E" w14:textId="3493411A" w:rsidR="00B858AE" w:rsidRPr="009F0981" w:rsidRDefault="00D223B8" w:rsidP="009F0981">
      <w:pPr>
        <w:pStyle w:val="ListBullet"/>
      </w:pPr>
      <w:r>
        <w:t>We gave</w:t>
      </w:r>
      <w:r w:rsidR="00F6133E" w:rsidRPr="00F6133E">
        <w:t xml:space="preserve"> free access t</w:t>
      </w:r>
      <w:r>
        <w:t>o</w:t>
      </w:r>
      <w:r w:rsidR="00F6133E" w:rsidRPr="00F6133E">
        <w:t xml:space="preserve"> e-bikes </w:t>
      </w:r>
      <w:r>
        <w:t xml:space="preserve">to 112 people </w:t>
      </w:r>
      <w:r w:rsidR="00F6133E" w:rsidRPr="00F6133E">
        <w:t>through the Beryl-PCC social prescribing offer, with users riding 22 times on average</w:t>
      </w:r>
      <w:r w:rsidR="00245055">
        <w:t>.</w:t>
      </w:r>
    </w:p>
    <w:p w14:paraId="6D2F4004" w14:textId="77777777" w:rsidR="00B858AE" w:rsidRDefault="00F6133E" w:rsidP="00B858AE">
      <w:pPr>
        <w:pStyle w:val="ListBullet"/>
        <w:numPr>
          <w:ilvl w:val="0"/>
          <w:numId w:val="0"/>
        </w:numPr>
        <w:rPr>
          <w:b/>
          <w:bCs/>
          <w:kern w:val="32"/>
          <w:szCs w:val="32"/>
        </w:rPr>
      </w:pPr>
      <w:r w:rsidRPr="00F6133E">
        <w:rPr>
          <w:b/>
          <w:bCs/>
          <w:kern w:val="32"/>
          <w:szCs w:val="32"/>
        </w:rPr>
        <w:t>Electric vehicle charge points</w:t>
      </w:r>
    </w:p>
    <w:p w14:paraId="0209649F" w14:textId="3694D099" w:rsidR="00B858AE" w:rsidRPr="009F0981" w:rsidRDefault="00146E2A" w:rsidP="009F0981">
      <w:pPr>
        <w:pStyle w:val="ListBullet"/>
      </w:pPr>
      <w:r w:rsidRPr="35F85DF3">
        <w:rPr>
          <w:lang w:val="en-US"/>
        </w:rPr>
        <w:t xml:space="preserve">We </w:t>
      </w:r>
      <w:r w:rsidR="00DB072D" w:rsidRPr="35F85DF3">
        <w:rPr>
          <w:lang w:val="en-US"/>
        </w:rPr>
        <w:t xml:space="preserve">have constructed </w:t>
      </w:r>
      <w:r w:rsidR="00F6133E" w:rsidRPr="35F85DF3">
        <w:rPr>
          <w:lang w:val="en-US"/>
        </w:rPr>
        <w:t>40 locations for rapid electric charging points station across Plymouth</w:t>
      </w:r>
      <w:r w:rsidR="00245055" w:rsidRPr="35F85DF3">
        <w:rPr>
          <w:lang w:val="en-US"/>
        </w:rPr>
        <w:t>.</w:t>
      </w:r>
    </w:p>
    <w:p w14:paraId="25602B0B" w14:textId="0D45805C" w:rsidR="00B858AE" w:rsidRPr="009F0981" w:rsidRDefault="00245055" w:rsidP="009F0981">
      <w:pPr>
        <w:pStyle w:val="ListBullet"/>
      </w:pPr>
      <w:r>
        <w:t xml:space="preserve">We </w:t>
      </w:r>
      <w:r w:rsidR="00530400">
        <w:t>were</w:t>
      </w:r>
      <w:r w:rsidR="00F6133E" w:rsidRPr="00F6133E">
        <w:t xml:space="preserve"> awarded £2.4 million of capital funding and £409</w:t>
      </w:r>
      <w:r w:rsidR="0078040C">
        <w:t>,000</w:t>
      </w:r>
      <w:r>
        <w:t xml:space="preserve"> of</w:t>
      </w:r>
      <w:r w:rsidR="00F6133E" w:rsidRPr="00F6133E">
        <w:t xml:space="preserve"> revenue</w:t>
      </w:r>
      <w:r>
        <w:t xml:space="preserve"> funding</w:t>
      </w:r>
      <w:r w:rsidR="00F6133E" w:rsidRPr="00F6133E">
        <w:t xml:space="preserve"> to roll out </w:t>
      </w:r>
      <w:r>
        <w:t>electric vehicle</w:t>
      </w:r>
      <w:r w:rsidR="00F6133E" w:rsidRPr="00F6133E">
        <w:t xml:space="preserve"> charge points for people without off-street parking</w:t>
      </w:r>
      <w:r w:rsidR="00226AB8">
        <w:t>.</w:t>
      </w:r>
    </w:p>
    <w:p w14:paraId="51C44418" w14:textId="2F4B9E3E" w:rsidR="00F6133E" w:rsidRPr="009F0981" w:rsidRDefault="00245055" w:rsidP="009F0981">
      <w:pPr>
        <w:pStyle w:val="ListBullet"/>
      </w:pPr>
      <w:r>
        <w:t xml:space="preserve">We launched the </w:t>
      </w:r>
      <w:r w:rsidR="00F6133E" w:rsidRPr="00F6133E">
        <w:t xml:space="preserve">Electric </w:t>
      </w:r>
      <w:r w:rsidR="00053BC0">
        <w:t>V</w:t>
      </w:r>
      <w:r w:rsidR="00F6133E" w:rsidRPr="00F6133E">
        <w:t xml:space="preserve">ehicle </w:t>
      </w:r>
      <w:r w:rsidR="00053BC0">
        <w:t>I</w:t>
      </w:r>
      <w:r w:rsidR="00F6133E" w:rsidRPr="00F6133E">
        <w:t xml:space="preserve">nfrastructure </w:t>
      </w:r>
      <w:r w:rsidR="00053BC0">
        <w:t>S</w:t>
      </w:r>
      <w:r w:rsidR="00F6133E" w:rsidRPr="00F6133E">
        <w:t>trategy for Plymout</w:t>
      </w:r>
      <w:r w:rsidR="00053BC0">
        <w:t>h</w:t>
      </w:r>
      <w:r w:rsidR="00553514">
        <w:t>.</w:t>
      </w:r>
    </w:p>
    <w:p w14:paraId="71752D26" w14:textId="77777777" w:rsidR="00F6133E" w:rsidRPr="00F6133E" w:rsidRDefault="00F6133E" w:rsidP="00F6133E">
      <w:pPr>
        <w:pStyle w:val="Pagesubheading"/>
      </w:pPr>
      <w:r w:rsidRPr="00F6133E">
        <w:t>Car Club</w:t>
      </w:r>
    </w:p>
    <w:p w14:paraId="602CCCAE" w14:textId="6F2E6F26" w:rsidR="00F6133E" w:rsidRPr="00F6133E" w:rsidRDefault="00167717" w:rsidP="009F0981">
      <w:pPr>
        <w:pStyle w:val="ListBullet"/>
      </w:pPr>
      <w:r>
        <w:t xml:space="preserve">We appointed </w:t>
      </w:r>
      <w:r w:rsidR="00F6133E" w:rsidRPr="00F6133E">
        <w:t>Co Wheels</w:t>
      </w:r>
      <w:r w:rsidR="00553514">
        <w:t xml:space="preserve"> </w:t>
      </w:r>
      <w:r w:rsidR="00F6133E" w:rsidRPr="00F6133E">
        <w:t>to run an electric car club in Plymouth</w:t>
      </w:r>
      <w:r w:rsidR="00553514">
        <w:t>.</w:t>
      </w:r>
    </w:p>
    <w:p w14:paraId="31B505FB" w14:textId="77777777" w:rsidR="00F6133E" w:rsidRPr="00F6133E" w:rsidRDefault="00F6133E" w:rsidP="00F6133E">
      <w:pPr>
        <w:pStyle w:val="Pagesubheading"/>
      </w:pPr>
      <w:r w:rsidRPr="00F6133E">
        <w:t>District Heating Network</w:t>
      </w:r>
    </w:p>
    <w:p w14:paraId="5D134B90" w14:textId="705C3CEC" w:rsidR="00F6133E" w:rsidRPr="00F6133E" w:rsidRDefault="6944D74C" w:rsidP="76352147">
      <w:pPr>
        <w:pStyle w:val="ListBullet"/>
        <w:rPr>
          <w:lang w:val="en-US"/>
        </w:rPr>
      </w:pPr>
      <w:r w:rsidRPr="76352147">
        <w:rPr>
          <w:lang w:val="en-US"/>
        </w:rPr>
        <w:t>We were</w:t>
      </w:r>
      <w:r w:rsidR="4CFD90CE" w:rsidRPr="76352147">
        <w:rPr>
          <w:lang w:val="en-US"/>
        </w:rPr>
        <w:t xml:space="preserve"> </w:t>
      </w:r>
      <w:r w:rsidR="5DC3D120" w:rsidRPr="76352147">
        <w:rPr>
          <w:lang w:val="en-US"/>
        </w:rPr>
        <w:t xml:space="preserve">selected by </w:t>
      </w:r>
      <w:r w:rsidR="57937D09" w:rsidRPr="76352147">
        <w:rPr>
          <w:lang w:val="en-US"/>
        </w:rPr>
        <w:t xml:space="preserve">central </w:t>
      </w:r>
      <w:r w:rsidR="5DC3D120" w:rsidRPr="76352147">
        <w:rPr>
          <w:lang w:val="en-US"/>
        </w:rPr>
        <w:t xml:space="preserve">government </w:t>
      </w:r>
      <w:r w:rsidRPr="76352147">
        <w:rPr>
          <w:lang w:val="en-US"/>
        </w:rPr>
        <w:t xml:space="preserve">as </w:t>
      </w:r>
      <w:r w:rsidR="5DC3D120" w:rsidRPr="76352147">
        <w:rPr>
          <w:lang w:val="en-US"/>
        </w:rPr>
        <w:t>one of 17 cities in the Advanced Zoning Programme</w:t>
      </w:r>
      <w:r w:rsidRPr="76352147">
        <w:rPr>
          <w:lang w:val="en-US"/>
        </w:rPr>
        <w:t>,</w:t>
      </w:r>
      <w:r w:rsidR="5DC3D120" w:rsidRPr="76352147">
        <w:rPr>
          <w:lang w:val="en-US"/>
        </w:rPr>
        <w:t xml:space="preserve"> which has provided us with £800,000 of funding for design, </w:t>
      </w:r>
      <w:r w:rsidR="006356F0" w:rsidRPr="76352147">
        <w:rPr>
          <w:lang w:val="en-US"/>
        </w:rPr>
        <w:t>procurement,</w:t>
      </w:r>
      <w:r w:rsidR="5DC3D120" w:rsidRPr="76352147">
        <w:rPr>
          <w:lang w:val="en-US"/>
        </w:rPr>
        <w:t xml:space="preserve"> and grant </w:t>
      </w:r>
      <w:r w:rsidR="5DC3D120" w:rsidRPr="76352147">
        <w:rPr>
          <w:lang w:val="en-US"/>
        </w:rPr>
        <w:lastRenderedPageBreak/>
        <w:t>application for the first phase of a heat network in the cit</w:t>
      </w:r>
      <w:r w:rsidR="4616A38D" w:rsidRPr="76352147">
        <w:rPr>
          <w:lang w:val="en-US"/>
        </w:rPr>
        <w:t>y</w:t>
      </w:r>
      <w:r w:rsidR="4CFD90CE" w:rsidRPr="76352147">
        <w:rPr>
          <w:lang w:val="en-US"/>
        </w:rPr>
        <w:t>.</w:t>
      </w:r>
      <w:r w:rsidR="00AD3C50">
        <w:rPr>
          <w:lang w:val="en-US"/>
        </w:rPr>
        <w:t xml:space="preserve"> Plymouth </w:t>
      </w:r>
      <w:r w:rsidR="00782AE0">
        <w:rPr>
          <w:lang w:val="en-US"/>
        </w:rPr>
        <w:t>is</w:t>
      </w:r>
      <w:r w:rsidR="00AD3C50">
        <w:rPr>
          <w:lang w:val="en-US"/>
        </w:rPr>
        <w:t xml:space="preserve"> one of 6 </w:t>
      </w:r>
      <w:r w:rsidR="00797CF6">
        <w:rPr>
          <w:lang w:val="en-US"/>
        </w:rPr>
        <w:t>towns and cities</w:t>
      </w:r>
      <w:r w:rsidR="00AD3C50">
        <w:rPr>
          <w:lang w:val="en-US"/>
        </w:rPr>
        <w:t xml:space="preserve"> </w:t>
      </w:r>
      <w:r w:rsidR="00A44F63">
        <w:rPr>
          <w:lang w:val="en-US"/>
        </w:rPr>
        <w:t xml:space="preserve">nationally to </w:t>
      </w:r>
      <w:r w:rsidR="00AD3C50">
        <w:rPr>
          <w:lang w:val="en-US"/>
        </w:rPr>
        <w:t>have made the shortlist to form the first zones</w:t>
      </w:r>
      <w:r w:rsidR="00C25F84">
        <w:rPr>
          <w:lang w:val="en-US"/>
        </w:rPr>
        <w:t xml:space="preserve">, which will channel further resources and opportunities to our city. </w:t>
      </w:r>
    </w:p>
    <w:p w14:paraId="4846B88A" w14:textId="0E0F0091" w:rsidR="00F6133E" w:rsidRPr="00F6133E" w:rsidRDefault="00F6133E" w:rsidP="00F6133E">
      <w:pPr>
        <w:pStyle w:val="Pagesubheading"/>
      </w:pPr>
      <w:r w:rsidRPr="00F6133E">
        <w:t xml:space="preserve">Decarbonisation of </w:t>
      </w:r>
      <w:r w:rsidR="00553514">
        <w:t>the Council’</w:t>
      </w:r>
      <w:r w:rsidRPr="00F6133E">
        <w:t>s estate</w:t>
      </w:r>
    </w:p>
    <w:p w14:paraId="41D6F7D0" w14:textId="77777777" w:rsidR="00DB4C41" w:rsidRPr="0037663D" w:rsidRDefault="00DB4C41" w:rsidP="00DB4C41">
      <w:pPr>
        <w:pStyle w:val="ListBullet"/>
      </w:pPr>
      <w:r w:rsidRPr="0037663D">
        <w:t>We completed work on air source heat pumps in eight City Council buildings.</w:t>
      </w:r>
    </w:p>
    <w:p w14:paraId="6EEDCBA3" w14:textId="0C57B1BD" w:rsidR="00DB4C41" w:rsidRPr="0037663D" w:rsidRDefault="00DB4C41" w:rsidP="00DB4C41">
      <w:pPr>
        <w:pStyle w:val="ListBullet"/>
      </w:pPr>
      <w:r w:rsidRPr="53360DED">
        <w:rPr>
          <w:lang w:val="en-US"/>
        </w:rPr>
        <w:t>We obtained £108</w:t>
      </w:r>
      <w:r w:rsidR="00FD3093" w:rsidRPr="53360DED">
        <w:rPr>
          <w:lang w:val="en-US"/>
        </w:rPr>
        <w:t>,000</w:t>
      </w:r>
      <w:r w:rsidRPr="53360DED">
        <w:rPr>
          <w:lang w:val="en-US"/>
        </w:rPr>
        <w:t xml:space="preserve"> of Salix funding to decarbonise Harewood House. </w:t>
      </w:r>
    </w:p>
    <w:p w14:paraId="33AA2DB1" w14:textId="6FE04B00" w:rsidR="00DB4C41" w:rsidRPr="0037663D" w:rsidRDefault="00DB4C41" w:rsidP="00DB4C41">
      <w:pPr>
        <w:pStyle w:val="ListBullet"/>
      </w:pPr>
      <w:r w:rsidRPr="53360DED">
        <w:rPr>
          <w:lang w:val="en-US"/>
        </w:rPr>
        <w:t>We received £21</w:t>
      </w:r>
      <w:r w:rsidR="00FD3093" w:rsidRPr="53360DED">
        <w:rPr>
          <w:lang w:val="en-US"/>
        </w:rPr>
        <w:t>,000</w:t>
      </w:r>
      <w:r w:rsidRPr="53360DED">
        <w:rPr>
          <w:lang w:val="en-US"/>
        </w:rPr>
        <w:t xml:space="preserve"> from the Southwest Net Zero Hub to draw together technical and business case to improve energy efficiency of buildings at Mount Edgcumbe. </w:t>
      </w:r>
    </w:p>
    <w:p w14:paraId="39003281" w14:textId="77777777" w:rsidR="009F0981" w:rsidRDefault="00F6133E" w:rsidP="009F0981">
      <w:pPr>
        <w:pStyle w:val="Pagesubheading"/>
      </w:pPr>
      <w:r w:rsidRPr="00F6133E">
        <w:t>Retrofitting homes</w:t>
      </w:r>
    </w:p>
    <w:p w14:paraId="694080CE" w14:textId="76BD98E6" w:rsidR="00F6133E" w:rsidRPr="00F6133E" w:rsidRDefault="00F6133E" w:rsidP="009F0981">
      <w:pPr>
        <w:pStyle w:val="ListBullet"/>
      </w:pPr>
      <w:r w:rsidRPr="35F85DF3">
        <w:rPr>
          <w:lang w:val="en-US"/>
        </w:rPr>
        <w:t>60 off-gas homes in Plymouth</w:t>
      </w:r>
      <w:r w:rsidR="00375547" w:rsidRPr="35F85DF3">
        <w:rPr>
          <w:lang w:val="en-US"/>
        </w:rPr>
        <w:t xml:space="preserve"> are</w:t>
      </w:r>
      <w:r w:rsidRPr="35F85DF3">
        <w:rPr>
          <w:lang w:val="en-US"/>
        </w:rPr>
        <w:t xml:space="preserve"> being retrofitted with energy efficiency improvements, solar </w:t>
      </w:r>
      <w:r w:rsidR="006356F0" w:rsidRPr="35F85DF3">
        <w:rPr>
          <w:lang w:val="en-US"/>
        </w:rPr>
        <w:t>panels,</w:t>
      </w:r>
      <w:r w:rsidR="009F0981" w:rsidRPr="35F85DF3">
        <w:rPr>
          <w:lang w:val="en-US"/>
        </w:rPr>
        <w:t xml:space="preserve"> </w:t>
      </w:r>
      <w:r w:rsidRPr="35F85DF3">
        <w:rPr>
          <w:lang w:val="en-US"/>
        </w:rPr>
        <w:t>and heat pumps through the government’s HUG2 programme which has provided £1.1 million</w:t>
      </w:r>
      <w:r w:rsidR="00375547" w:rsidRPr="35F85DF3">
        <w:rPr>
          <w:lang w:val="en-US"/>
        </w:rPr>
        <w:t xml:space="preserve"> of funding.</w:t>
      </w:r>
    </w:p>
    <w:p w14:paraId="6A9A536C" w14:textId="20ED3952" w:rsidR="00F6133E" w:rsidRPr="00F6133E" w:rsidRDefault="00375547" w:rsidP="009F0981">
      <w:pPr>
        <w:pStyle w:val="ListBullet"/>
      </w:pPr>
      <w:r>
        <w:t>We a</w:t>
      </w:r>
      <w:r w:rsidR="00F6133E" w:rsidRPr="00F6133E">
        <w:t>warded</w:t>
      </w:r>
      <w:r>
        <w:t xml:space="preserve"> a contract</w:t>
      </w:r>
      <w:r w:rsidR="00F6133E" w:rsidRPr="00F6133E">
        <w:t xml:space="preserve"> to I</w:t>
      </w:r>
      <w:r w:rsidR="00FE4EB1">
        <w:t xml:space="preserve">ndependence </w:t>
      </w:r>
      <w:r w:rsidR="00F6133E" w:rsidRPr="00F6133E">
        <w:t>CIC to run a Dynamic Purchasing System that will help to steer energy efficiency retrofit work towards local suppliers</w:t>
      </w:r>
      <w:r>
        <w:t>.</w:t>
      </w:r>
    </w:p>
    <w:p w14:paraId="3D7F485A" w14:textId="14E90379" w:rsidR="00F6133E" w:rsidRPr="00F6133E" w:rsidRDefault="00375547" w:rsidP="009F0981">
      <w:pPr>
        <w:pStyle w:val="ListBullet"/>
      </w:pPr>
      <w:r w:rsidRPr="35F85DF3">
        <w:rPr>
          <w:lang w:val="en-US"/>
        </w:rPr>
        <w:t xml:space="preserve">We completed Phase 1 of the </w:t>
      </w:r>
      <w:r w:rsidR="00F6133E" w:rsidRPr="35F85DF3">
        <w:rPr>
          <w:lang w:val="en-US"/>
        </w:rPr>
        <w:t>Social Homes Decarbonisation Fund, which retrofitted 82 social homes with P</w:t>
      </w:r>
      <w:r w:rsidRPr="35F85DF3">
        <w:rPr>
          <w:lang w:val="en-US"/>
        </w:rPr>
        <w:t xml:space="preserve">lymouth </w:t>
      </w:r>
      <w:r w:rsidR="00F6133E" w:rsidRPr="35F85DF3">
        <w:rPr>
          <w:lang w:val="en-US"/>
        </w:rPr>
        <w:t>C</w:t>
      </w:r>
      <w:r w:rsidRPr="35F85DF3">
        <w:rPr>
          <w:lang w:val="en-US"/>
        </w:rPr>
        <w:t xml:space="preserve">ommunity </w:t>
      </w:r>
      <w:r w:rsidR="00F6133E" w:rsidRPr="35F85DF3">
        <w:rPr>
          <w:lang w:val="en-US"/>
        </w:rPr>
        <w:t>H</w:t>
      </w:r>
      <w:r w:rsidRPr="35F85DF3">
        <w:rPr>
          <w:lang w:val="en-US"/>
        </w:rPr>
        <w:t>omes</w:t>
      </w:r>
      <w:r w:rsidR="00F6133E" w:rsidRPr="35F85DF3">
        <w:rPr>
          <w:lang w:val="en-US"/>
        </w:rPr>
        <w:t xml:space="preserve"> and LiveWest using £967,000 of grant</w:t>
      </w:r>
      <w:r w:rsidR="002D2D04" w:rsidRPr="35F85DF3">
        <w:rPr>
          <w:lang w:val="en-US"/>
        </w:rPr>
        <w:t xml:space="preserve"> funding. </w:t>
      </w:r>
    </w:p>
    <w:p w14:paraId="537A575E" w14:textId="44DCE880" w:rsidR="00F6133E" w:rsidRPr="00F6133E" w:rsidRDefault="00FE4EB1" w:rsidP="009F0981">
      <w:pPr>
        <w:pStyle w:val="ListBullet"/>
      </w:pPr>
      <w:r w:rsidRPr="35F85DF3">
        <w:rPr>
          <w:lang w:val="en-US"/>
        </w:rPr>
        <w:t>We c</w:t>
      </w:r>
      <w:r w:rsidR="00F6133E" w:rsidRPr="35F85DF3">
        <w:rPr>
          <w:lang w:val="en-US"/>
        </w:rPr>
        <w:t>omplet</w:t>
      </w:r>
      <w:r w:rsidRPr="35F85DF3">
        <w:rPr>
          <w:lang w:val="en-US"/>
        </w:rPr>
        <w:t xml:space="preserve">ed Phase 2 of the </w:t>
      </w:r>
      <w:r w:rsidR="00F6133E" w:rsidRPr="35F85DF3">
        <w:rPr>
          <w:lang w:val="en-US"/>
        </w:rPr>
        <w:t>Social Homes Decarbonisation Fund, retrofitting 125 social homes with LiveWest</w:t>
      </w:r>
      <w:r w:rsidRPr="35F85DF3">
        <w:rPr>
          <w:lang w:val="en-US"/>
        </w:rPr>
        <w:t xml:space="preserve">, </w:t>
      </w:r>
      <w:r w:rsidR="00F6133E" w:rsidRPr="35F85DF3">
        <w:rPr>
          <w:lang w:val="en-US"/>
        </w:rPr>
        <w:t xml:space="preserve">using £1.4 million of grant </w:t>
      </w:r>
      <w:r w:rsidRPr="35F85DF3">
        <w:rPr>
          <w:lang w:val="en-US"/>
        </w:rPr>
        <w:t>funding.</w:t>
      </w:r>
    </w:p>
    <w:p w14:paraId="177685AC" w14:textId="77777777" w:rsidR="00F6133E" w:rsidRPr="00F6133E" w:rsidRDefault="00F6133E" w:rsidP="00F6133E">
      <w:pPr>
        <w:pStyle w:val="Pagesubheading"/>
      </w:pPr>
      <w:r w:rsidRPr="00F6133E">
        <w:t>Engagement</w:t>
      </w:r>
    </w:p>
    <w:p w14:paraId="38F2C6C4" w14:textId="53D203E8" w:rsidR="00F6133E" w:rsidRPr="00F6133E" w:rsidRDefault="00FE4EB1" w:rsidP="009F0981">
      <w:pPr>
        <w:pStyle w:val="ListBullet"/>
      </w:pPr>
      <w:r w:rsidRPr="35F85DF3">
        <w:rPr>
          <w:lang w:val="en-US"/>
        </w:rPr>
        <w:t xml:space="preserve">We </w:t>
      </w:r>
      <w:r w:rsidR="00F6133E" w:rsidRPr="35F85DF3">
        <w:rPr>
          <w:lang w:val="en-US"/>
        </w:rPr>
        <w:t>involved 2,786 individuals through our programme of net zero events</w:t>
      </w:r>
      <w:r w:rsidRPr="35F85DF3">
        <w:rPr>
          <w:lang w:val="en-US"/>
        </w:rPr>
        <w:t>.</w:t>
      </w:r>
    </w:p>
    <w:p w14:paraId="54C01848" w14:textId="619F7388" w:rsidR="00F6133E" w:rsidRPr="00F6133E" w:rsidRDefault="008E45C7" w:rsidP="009F0981">
      <w:pPr>
        <w:pStyle w:val="ListBullet"/>
      </w:pPr>
      <w:r w:rsidRPr="35F85DF3">
        <w:rPr>
          <w:lang w:val="en-US"/>
        </w:rPr>
        <w:t>We r</w:t>
      </w:r>
      <w:r w:rsidR="00F6133E" w:rsidRPr="35F85DF3">
        <w:rPr>
          <w:lang w:val="en-US"/>
        </w:rPr>
        <w:t xml:space="preserve">eached over </w:t>
      </w:r>
      <w:r w:rsidR="00DF7CE5">
        <w:rPr>
          <w:lang w:val="en-US"/>
        </w:rPr>
        <w:t>31</w:t>
      </w:r>
      <w:r w:rsidR="00F6133E" w:rsidRPr="35F85DF3">
        <w:rPr>
          <w:lang w:val="en-US"/>
        </w:rPr>
        <w:t>,000 through our social channels, established 1,035 followers (</w:t>
      </w:r>
      <w:r w:rsidRPr="35F85DF3">
        <w:rPr>
          <w:lang w:val="en-US"/>
        </w:rPr>
        <w:t>between January and November 2024</w:t>
      </w:r>
      <w:r w:rsidR="00F6133E" w:rsidRPr="35F85DF3">
        <w:rPr>
          <w:lang w:val="en-US"/>
        </w:rPr>
        <w:t>)</w:t>
      </w:r>
      <w:r w:rsidRPr="35F85DF3">
        <w:rPr>
          <w:lang w:val="en-US"/>
        </w:rPr>
        <w:t>.</w:t>
      </w:r>
    </w:p>
    <w:p w14:paraId="68705C25" w14:textId="07A3498F" w:rsidR="00F6133E" w:rsidRPr="00F6133E" w:rsidRDefault="008E45C7" w:rsidP="009F0981">
      <w:pPr>
        <w:pStyle w:val="ListBullet"/>
      </w:pPr>
      <w:r>
        <w:t>We l</w:t>
      </w:r>
      <w:r w:rsidR="00F6133E" w:rsidRPr="00F6133E">
        <w:t>aunched Climate Mingle, a regular networking event sharing stories from those leading the way across the city</w:t>
      </w:r>
      <w:r w:rsidR="0028291A">
        <w:t>.</w:t>
      </w:r>
    </w:p>
    <w:p w14:paraId="398BD70D" w14:textId="3EFCBBB6" w:rsidR="00F6133E" w:rsidRPr="00F6133E" w:rsidRDefault="0028291A" w:rsidP="009F0981">
      <w:pPr>
        <w:pStyle w:val="ListBullet"/>
      </w:pPr>
      <w:r w:rsidRPr="35F85DF3">
        <w:rPr>
          <w:lang w:val="en-US"/>
        </w:rPr>
        <w:t>We c</w:t>
      </w:r>
      <w:r w:rsidR="00F6133E" w:rsidRPr="35F85DF3">
        <w:rPr>
          <w:lang w:val="en-US"/>
        </w:rPr>
        <w:t xml:space="preserve">rowned 5 Local Climate Legends celebrating heroes going the extra mile, with films sharing the stories of the winners from business, youth, </w:t>
      </w:r>
      <w:r w:rsidR="006356F0" w:rsidRPr="35F85DF3">
        <w:rPr>
          <w:lang w:val="en-US"/>
        </w:rPr>
        <w:t>community,</w:t>
      </w:r>
      <w:r w:rsidR="00F6133E" w:rsidRPr="35F85DF3">
        <w:rPr>
          <w:lang w:val="en-US"/>
        </w:rPr>
        <w:t xml:space="preserve"> and schools</w:t>
      </w:r>
      <w:r w:rsidRPr="35F85DF3">
        <w:rPr>
          <w:lang w:val="en-US"/>
        </w:rPr>
        <w:t>.</w:t>
      </w:r>
    </w:p>
    <w:p w14:paraId="44C5DEDF" w14:textId="7BB408E5" w:rsidR="00F6133E" w:rsidRPr="00F6133E" w:rsidRDefault="00F6133E" w:rsidP="009F0981">
      <w:pPr>
        <w:pStyle w:val="ListBullet"/>
      </w:pPr>
      <w:r w:rsidRPr="35F85DF3">
        <w:rPr>
          <w:lang w:val="en-US"/>
        </w:rPr>
        <w:t>W</w:t>
      </w:r>
      <w:r w:rsidR="0028291A" w:rsidRPr="35F85DF3">
        <w:rPr>
          <w:lang w:val="en-US"/>
        </w:rPr>
        <w:t>e w</w:t>
      </w:r>
      <w:r w:rsidRPr="35F85DF3">
        <w:rPr>
          <w:lang w:val="en-US"/>
        </w:rPr>
        <w:t>orked with 40 organisations and community groups across the city to deliver the Big Green Trail collaborating with organisations across the city and involving 754 beryl e-bike rides on the day, with 80 first time riders</w:t>
      </w:r>
      <w:r w:rsidR="0028291A" w:rsidRPr="35F85DF3">
        <w:rPr>
          <w:lang w:val="en-US"/>
        </w:rPr>
        <w:t>.</w:t>
      </w:r>
    </w:p>
    <w:p w14:paraId="1F329454" w14:textId="4A36FC18" w:rsidR="00F6133E" w:rsidRPr="00F6133E" w:rsidRDefault="00F6133E" w:rsidP="009F0981">
      <w:pPr>
        <w:pStyle w:val="ListBullet"/>
      </w:pPr>
      <w:r w:rsidRPr="35F85DF3">
        <w:rPr>
          <w:lang w:val="en-US"/>
        </w:rPr>
        <w:t>111 organisations signed up to the Climate Connections ‘Who’s Who’ directory for organisations to share their net zero commitments and action plans</w:t>
      </w:r>
      <w:r w:rsidR="002D2D04" w:rsidRPr="35F85DF3">
        <w:rPr>
          <w:lang w:val="en-US"/>
        </w:rPr>
        <w:t>.</w:t>
      </w:r>
    </w:p>
    <w:p w14:paraId="7B00E397" w14:textId="3A71F4F8" w:rsidR="00F6133E" w:rsidRPr="00F6133E" w:rsidRDefault="00672037" w:rsidP="009F0981">
      <w:pPr>
        <w:pStyle w:val="ListBullet"/>
      </w:pPr>
      <w:r>
        <w:t xml:space="preserve">The </w:t>
      </w:r>
      <w:r w:rsidR="00F6133E" w:rsidRPr="00F6133E">
        <w:t>Plymouth Net Zero Partnership continu</w:t>
      </w:r>
      <w:r>
        <w:t>es</w:t>
      </w:r>
      <w:r w:rsidR="00F6133E" w:rsidRPr="00F6133E">
        <w:t xml:space="preserve"> to engage with key stakeholders across the city</w:t>
      </w:r>
      <w:r w:rsidR="002D2D04">
        <w:t>.</w:t>
      </w:r>
    </w:p>
    <w:p w14:paraId="5E6FDA4B" w14:textId="77777777" w:rsidR="000A68E9" w:rsidRDefault="000A68E9" w:rsidP="009E294F">
      <w:pPr>
        <w:pStyle w:val="Pagesubheading"/>
        <w:rPr>
          <w:b w:val="0"/>
          <w:bCs w:val="0"/>
        </w:rPr>
      </w:pPr>
    </w:p>
    <w:p w14:paraId="722D06E3" w14:textId="71081739" w:rsidR="009E294F" w:rsidRPr="00C02AA5" w:rsidRDefault="009E294F" w:rsidP="009E294F">
      <w:pPr>
        <w:pStyle w:val="Pagesubheading"/>
        <w:rPr>
          <w:b w:val="0"/>
          <w:bCs w:val="0"/>
        </w:rPr>
      </w:pPr>
      <w:r w:rsidRPr="00C02AA5">
        <w:rPr>
          <w:b w:val="0"/>
          <w:bCs w:val="0"/>
        </w:rPr>
        <w:t>The monitoring reports for our previous action plans can be found by following th</w:t>
      </w:r>
      <w:r w:rsidR="009A50FE">
        <w:rPr>
          <w:b w:val="0"/>
          <w:bCs w:val="0"/>
        </w:rPr>
        <w:t>is</w:t>
      </w:r>
      <w:r w:rsidRPr="00C02AA5">
        <w:rPr>
          <w:b w:val="0"/>
          <w:bCs w:val="0"/>
        </w:rPr>
        <w:t xml:space="preserve"> link:</w:t>
      </w:r>
    </w:p>
    <w:p w14:paraId="446E2FD2" w14:textId="595C2479" w:rsidR="009E294F" w:rsidRPr="00530400" w:rsidRDefault="00530400" w:rsidP="009E294F">
      <w:pPr>
        <w:pStyle w:val="Pagesubheading"/>
        <w:rPr>
          <w:rStyle w:val="Hyperlink"/>
          <w:kern w:val="0"/>
          <w:szCs w:val="24"/>
          <w:lang w:val="en"/>
        </w:rPr>
      </w:pPr>
      <w:r>
        <w:rPr>
          <w:b w:val="0"/>
          <w:bCs w:val="0"/>
          <w:kern w:val="0"/>
          <w:szCs w:val="24"/>
          <w:lang w:val="en"/>
        </w:rPr>
        <w:fldChar w:fldCharType="begin"/>
      </w:r>
      <w:r>
        <w:rPr>
          <w:b w:val="0"/>
          <w:bCs w:val="0"/>
          <w:kern w:val="0"/>
          <w:szCs w:val="24"/>
          <w:lang w:val="en"/>
        </w:rPr>
        <w:instrText>HYPERLINK "https://www.plymouth.gov.uk/previous-climate-and-corporate-action-plans"</w:instrText>
      </w:r>
      <w:r>
        <w:rPr>
          <w:b w:val="0"/>
          <w:bCs w:val="0"/>
          <w:kern w:val="0"/>
          <w:szCs w:val="24"/>
          <w:lang w:val="en"/>
        </w:rPr>
      </w:r>
      <w:r>
        <w:rPr>
          <w:b w:val="0"/>
          <w:bCs w:val="0"/>
          <w:kern w:val="0"/>
          <w:szCs w:val="24"/>
          <w:lang w:val="en"/>
        </w:rPr>
        <w:fldChar w:fldCharType="separate"/>
      </w:r>
      <w:r w:rsidR="009E294F" w:rsidRPr="00530400">
        <w:rPr>
          <w:rStyle w:val="Hyperlink"/>
          <w:b w:val="0"/>
          <w:bCs w:val="0"/>
          <w:kern w:val="0"/>
          <w:szCs w:val="24"/>
          <w:lang w:val="en"/>
        </w:rPr>
        <w:t>Previous climate and corporate action plans | PLYMOUTH.GOV.UK</w:t>
      </w:r>
      <w:r w:rsidR="0050200F" w:rsidRPr="00530400">
        <w:rPr>
          <w:rStyle w:val="Hyperlink"/>
          <w:b w:val="0"/>
          <w:bCs w:val="0"/>
          <w:kern w:val="0"/>
          <w:szCs w:val="24"/>
          <w:lang w:val="en"/>
        </w:rPr>
        <w:t xml:space="preserve"> </w:t>
      </w:r>
    </w:p>
    <w:bookmarkEnd w:id="0"/>
    <w:p w14:paraId="31E6BC2A" w14:textId="65A15F53" w:rsidR="009E294F" w:rsidRDefault="00530400" w:rsidP="009E294F">
      <w:pPr>
        <w:pStyle w:val="Pagesubheading"/>
      </w:pPr>
      <w:r>
        <w:rPr>
          <w:b w:val="0"/>
          <w:bCs w:val="0"/>
          <w:kern w:val="0"/>
          <w:szCs w:val="24"/>
          <w:lang w:val="en"/>
        </w:rPr>
        <w:fldChar w:fldCharType="end"/>
      </w:r>
    </w:p>
    <w:p w14:paraId="77469053" w14:textId="77777777" w:rsidR="000A68E9" w:rsidRDefault="000A68E9">
      <w:pPr>
        <w:numPr>
          <w:ilvl w:val="0"/>
          <w:numId w:val="0"/>
        </w:numPr>
        <w:spacing w:before="0"/>
        <w:rPr>
          <w:b/>
          <w:bCs/>
          <w:kern w:val="32"/>
          <w:szCs w:val="32"/>
        </w:rPr>
      </w:pPr>
      <w:r>
        <w:br w:type="page"/>
      </w:r>
    </w:p>
    <w:p w14:paraId="7BCD531F" w14:textId="6D33CCD9" w:rsidR="009E294F" w:rsidRPr="00C7330E" w:rsidRDefault="009E294F" w:rsidP="009E294F">
      <w:pPr>
        <w:pStyle w:val="Pagesubheading"/>
      </w:pPr>
      <w:r w:rsidRPr="00C7330E">
        <w:lastRenderedPageBreak/>
        <w:t>What does the NZAP cover?</w:t>
      </w:r>
    </w:p>
    <w:p w14:paraId="0EFAD17D" w14:textId="60B9FACA" w:rsidR="009E294F" w:rsidRPr="00C7330E" w:rsidRDefault="009E294F" w:rsidP="009E294F">
      <w:pPr>
        <w:pStyle w:val="ListBullet"/>
        <w:numPr>
          <w:ilvl w:val="0"/>
          <w:numId w:val="0"/>
        </w:numPr>
      </w:pPr>
      <w:r w:rsidRPr="00C7330E">
        <w:t>The NZAP covers two fundamental areas:</w:t>
      </w:r>
    </w:p>
    <w:p w14:paraId="47435A63" w14:textId="70905BB0" w:rsidR="009E294F" w:rsidRPr="00C7330E" w:rsidRDefault="003B0AA1" w:rsidP="009E294F">
      <w:pPr>
        <w:pStyle w:val="ListBullet"/>
        <w:numPr>
          <w:ilvl w:val="0"/>
          <w:numId w:val="0"/>
        </w:numPr>
      </w:pPr>
      <w:r w:rsidRPr="00C7330E">
        <w:rPr>
          <w:noProof/>
          <w:lang w:val="en-GB"/>
        </w:rPr>
        <w:drawing>
          <wp:anchor distT="0" distB="0" distL="114300" distR="114300" simplePos="0" relativeHeight="251658241" behindDoc="0" locked="0" layoutInCell="1" allowOverlap="1" wp14:anchorId="3964AD69" wp14:editId="4CB0EDCB">
            <wp:simplePos x="0" y="0"/>
            <wp:positionH relativeFrom="margin">
              <wp:align>right</wp:align>
            </wp:positionH>
            <wp:positionV relativeFrom="paragraph">
              <wp:posOffset>147676</wp:posOffset>
            </wp:positionV>
            <wp:extent cx="2865755" cy="2006600"/>
            <wp:effectExtent l="0" t="0" r="0" b="0"/>
            <wp:wrapSquare wrapText="bothSides"/>
            <wp:docPr id="1256721818" name="Picture 1256721818"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721818" name="Picture 1256721818" descr="A diagram of a company&#10;&#10;Description automatically generated with medium confidence"/>
                    <pic:cNvPicPr/>
                  </pic:nvPicPr>
                  <pic:blipFill>
                    <a:blip r:embed="rId14" cstate="print">
                      <a:extLst>
                        <a:ext uri="{28A0092B-C50C-407E-A947-70E740481C1C}">
                          <a14:useLocalDpi xmlns:a14="http://schemas.microsoft.com/office/drawing/2010/main" val="0"/>
                        </a:ext>
                      </a:extLst>
                    </a:blip>
                    <a:srcRect l="15208" t="3501" r="14583" b="4669"/>
                    <a:stretch>
                      <a:fillRect/>
                    </a:stretch>
                  </pic:blipFill>
                  <pic:spPr>
                    <a:xfrm>
                      <a:off x="0" y="0"/>
                      <a:ext cx="2865755" cy="2006600"/>
                    </a:xfrm>
                    <a:prstGeom prst="rect">
                      <a:avLst/>
                    </a:prstGeom>
                    <a:ln>
                      <a:noFill/>
                    </a:ln>
                  </pic:spPr>
                </pic:pic>
              </a:graphicData>
            </a:graphic>
            <wp14:sizeRelH relativeFrom="margin">
              <wp14:pctWidth>0</wp14:pctWidth>
            </wp14:sizeRelH>
            <wp14:sizeRelV relativeFrom="margin">
              <wp14:pctHeight>0</wp14:pctHeight>
            </wp14:sizeRelV>
          </wp:anchor>
        </w:drawing>
      </w:r>
      <w:r w:rsidR="009E294F" w:rsidRPr="52E7B01D">
        <w:rPr>
          <w:lang w:val="en-US"/>
        </w:rPr>
        <w:t xml:space="preserve">First, it includes action commitments to reduce emissions from the facilities we own and the services we deliver. </w:t>
      </w:r>
      <w:r w:rsidR="00DA04E5" w:rsidRPr="52E7B01D">
        <w:rPr>
          <w:lang w:val="en-US"/>
        </w:rPr>
        <w:t xml:space="preserve">Our </w:t>
      </w:r>
      <w:r w:rsidR="007E4131" w:rsidRPr="52E7B01D">
        <w:rPr>
          <w:lang w:val="en-US"/>
        </w:rPr>
        <w:t>own operations</w:t>
      </w:r>
      <w:r w:rsidR="00A508EC" w:rsidRPr="52E7B01D">
        <w:rPr>
          <w:lang w:val="en-US"/>
        </w:rPr>
        <w:t xml:space="preserve"> generated 11,201</w:t>
      </w:r>
      <w:r w:rsidR="00897952" w:rsidRPr="52E7B01D">
        <w:rPr>
          <w:b/>
          <w:bCs/>
          <w:lang w:val="en-US"/>
        </w:rPr>
        <w:t xml:space="preserve"> </w:t>
      </w:r>
      <w:r w:rsidR="00CD34D9" w:rsidRPr="52E7B01D">
        <w:rPr>
          <w:lang w:val="en-US"/>
        </w:rPr>
        <w:t>t</w:t>
      </w:r>
      <w:r w:rsidR="009E294F" w:rsidRPr="52E7B01D">
        <w:rPr>
          <w:lang w:val="en-US"/>
        </w:rPr>
        <w:t>onnes CO</w:t>
      </w:r>
      <w:r w:rsidR="009E294F" w:rsidRPr="52E7B01D">
        <w:rPr>
          <w:vertAlign w:val="subscript"/>
          <w:lang w:val="en-US"/>
        </w:rPr>
        <w:t>2</w:t>
      </w:r>
      <w:r w:rsidR="009E294F" w:rsidRPr="52E7B01D">
        <w:rPr>
          <w:lang w:val="en-US"/>
        </w:rPr>
        <w:t>e in 202</w:t>
      </w:r>
      <w:r w:rsidR="00B96604" w:rsidRPr="52E7B01D">
        <w:rPr>
          <w:lang w:val="en-US"/>
        </w:rPr>
        <w:t>3/24</w:t>
      </w:r>
      <w:r w:rsidR="009E294F" w:rsidRPr="52E7B01D">
        <w:rPr>
          <w:lang w:val="en-US"/>
        </w:rPr>
        <w:t xml:space="preserve">, </w:t>
      </w:r>
      <w:r w:rsidR="00C973B1" w:rsidRPr="52E7B01D">
        <w:rPr>
          <w:lang w:val="en-US"/>
        </w:rPr>
        <w:t>approximately</w:t>
      </w:r>
      <w:r w:rsidR="009E294F" w:rsidRPr="52E7B01D">
        <w:rPr>
          <w:lang w:val="en-US"/>
        </w:rPr>
        <w:t xml:space="preserve"> </w:t>
      </w:r>
      <w:r w:rsidR="00C973B1" w:rsidRPr="52E7B01D">
        <w:rPr>
          <w:lang w:val="en-US"/>
        </w:rPr>
        <w:t>1</w:t>
      </w:r>
      <w:r w:rsidR="009E294F" w:rsidRPr="52E7B01D">
        <w:rPr>
          <w:lang w:val="en-US"/>
        </w:rPr>
        <w:t>% of the city</w:t>
      </w:r>
      <w:r w:rsidR="00BA07D4" w:rsidRPr="52E7B01D">
        <w:rPr>
          <w:lang w:val="en-US"/>
        </w:rPr>
        <w:t>’s emissions</w:t>
      </w:r>
      <w:r w:rsidR="009E294F" w:rsidRPr="52E7B01D">
        <w:rPr>
          <w:rStyle w:val="FootnoteReference"/>
          <w:lang w:val="en-US"/>
        </w:rPr>
        <w:footnoteReference w:id="3"/>
      </w:r>
      <w:r w:rsidR="009E294F" w:rsidRPr="52E7B01D">
        <w:rPr>
          <w:lang w:val="en-US"/>
        </w:rPr>
        <w:t>.</w:t>
      </w:r>
      <w:r w:rsidR="00BA07D4" w:rsidRPr="52E7B01D">
        <w:rPr>
          <w:lang w:val="en-US"/>
        </w:rPr>
        <w:t xml:space="preserve"> </w:t>
      </w:r>
    </w:p>
    <w:p w14:paraId="646B034A" w14:textId="777ABF86" w:rsidR="009E294F" w:rsidRPr="00C7330E" w:rsidRDefault="009E294F" w:rsidP="003B0AA1">
      <w:pPr>
        <w:pStyle w:val="ListBullet"/>
        <w:numPr>
          <w:ilvl w:val="0"/>
          <w:numId w:val="0"/>
        </w:numPr>
      </w:pPr>
      <w:r w:rsidRPr="52E7B01D">
        <w:rPr>
          <w:lang w:val="en-US"/>
        </w:rPr>
        <w:t xml:space="preserve">Second, it includes commitments about how we will use our powers to help the city as a whole move towards net zero. According to the Climate Change Committee’s </w:t>
      </w:r>
      <w:hyperlink r:id="rId15">
        <w:r w:rsidRPr="52E7B01D">
          <w:rPr>
            <w:rStyle w:val="Hyperlink"/>
            <w:lang w:val="en-US"/>
          </w:rPr>
          <w:t>‘Local Authorities and the Sixth Carbon Budget’</w:t>
        </w:r>
      </w:hyperlink>
      <w:r w:rsidRPr="52E7B01D">
        <w:rPr>
          <w:lang w:val="en-US"/>
        </w:rPr>
        <w:t>, councils influence about 30% of emissions in their locality</w:t>
      </w:r>
      <w:r w:rsidRPr="52E7B01D">
        <w:rPr>
          <w:rStyle w:val="FootnoteReference"/>
          <w:lang w:val="en-US"/>
        </w:rPr>
        <w:footnoteReference w:id="4"/>
      </w:r>
      <w:r w:rsidRPr="52E7B01D">
        <w:rPr>
          <w:lang w:val="en-US"/>
        </w:rPr>
        <w:t>. Ways in which councils can do this are shown in this diagram:</w:t>
      </w:r>
    </w:p>
    <w:p w14:paraId="786A1B0D" w14:textId="77777777" w:rsidR="009E294F" w:rsidRPr="00C7330E" w:rsidRDefault="009E294F" w:rsidP="009E294F">
      <w:pPr>
        <w:pStyle w:val="ListBullet"/>
        <w:numPr>
          <w:ilvl w:val="0"/>
          <w:numId w:val="0"/>
        </w:numPr>
      </w:pPr>
    </w:p>
    <w:p w14:paraId="199CB484" w14:textId="21F604F5" w:rsidR="009E294F" w:rsidRPr="00C7330E" w:rsidRDefault="003B0AA1" w:rsidP="009E294F">
      <w:pPr>
        <w:pStyle w:val="Pagesubheading"/>
      </w:pPr>
      <w:r w:rsidRPr="00C7330E">
        <w:rPr>
          <w:noProof/>
        </w:rPr>
        <w:drawing>
          <wp:anchor distT="0" distB="0" distL="114300" distR="114300" simplePos="0" relativeHeight="251658240" behindDoc="1" locked="0" layoutInCell="1" allowOverlap="1" wp14:anchorId="43E05C7B" wp14:editId="123E0CAA">
            <wp:simplePos x="0" y="0"/>
            <wp:positionH relativeFrom="margin">
              <wp:align>right</wp:align>
            </wp:positionH>
            <wp:positionV relativeFrom="paragraph">
              <wp:posOffset>67005</wp:posOffset>
            </wp:positionV>
            <wp:extent cx="2905760" cy="1929130"/>
            <wp:effectExtent l="0" t="0" r="8890" b="0"/>
            <wp:wrapTight wrapText="bothSides">
              <wp:wrapPolygon edited="0">
                <wp:start x="0" y="0"/>
                <wp:lineTo x="0" y="21330"/>
                <wp:lineTo x="21524" y="21330"/>
                <wp:lineTo x="21524" y="0"/>
                <wp:lineTo x="0" y="0"/>
              </wp:wrapPolygon>
            </wp:wrapTight>
            <wp:docPr id="751181114" name="Picture 751181114" descr="A diagram of a pyram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838424" name="Picture 734838424" descr="A diagram of a pyramid&#10;&#10;Description automatically generated"/>
                    <pic:cNvPicPr/>
                  </pic:nvPicPr>
                  <pic:blipFill>
                    <a:blip r:embed="rId16" cstate="print">
                      <a:extLst>
                        <a:ext uri="{28A0092B-C50C-407E-A947-70E740481C1C}">
                          <a14:useLocalDpi xmlns:a14="http://schemas.microsoft.com/office/drawing/2010/main" val="0"/>
                        </a:ext>
                      </a:extLst>
                    </a:blip>
                    <a:srcRect l="14285" t="8994" r="13095" b="5291"/>
                    <a:stretch>
                      <a:fillRect/>
                    </a:stretch>
                  </pic:blipFill>
                  <pic:spPr>
                    <a:xfrm>
                      <a:off x="0" y="0"/>
                      <a:ext cx="2905760" cy="1929130"/>
                    </a:xfrm>
                    <a:prstGeom prst="rect">
                      <a:avLst/>
                    </a:prstGeom>
                    <a:ln>
                      <a:noFill/>
                    </a:ln>
                  </pic:spPr>
                </pic:pic>
              </a:graphicData>
            </a:graphic>
            <wp14:sizeRelH relativeFrom="page">
              <wp14:pctWidth>0</wp14:pctWidth>
            </wp14:sizeRelH>
            <wp14:sizeRelV relativeFrom="page">
              <wp14:pctHeight>0</wp14:pctHeight>
            </wp14:sizeRelV>
          </wp:anchor>
        </w:drawing>
      </w:r>
      <w:r w:rsidR="009E294F" w:rsidRPr="00C7330E">
        <w:t>What is our overall approach?</w:t>
      </w:r>
    </w:p>
    <w:p w14:paraId="2BC5E9EC" w14:textId="7D117658" w:rsidR="009E294F" w:rsidRPr="00C7330E" w:rsidRDefault="009E294F" w:rsidP="009E294F">
      <w:pPr>
        <w:pStyle w:val="ListBullet"/>
        <w:numPr>
          <w:ilvl w:val="0"/>
          <w:numId w:val="0"/>
        </w:numPr>
      </w:pPr>
      <w:r w:rsidRPr="00C7330E">
        <w:t>The NZAP has been guided by what is known as the Carbon Management Hierarchy (CMH)</w:t>
      </w:r>
      <w:r w:rsidRPr="00C7330E">
        <w:rPr>
          <w:rStyle w:val="FootnoteReference"/>
        </w:rPr>
        <w:footnoteReference w:id="5"/>
      </w:r>
      <w:r w:rsidRPr="00C7330E">
        <w:t>.</w:t>
      </w:r>
      <w:r>
        <w:t xml:space="preserve"> </w:t>
      </w:r>
      <w:r w:rsidRPr="00C7330E">
        <w:t>This aims to give focus first to actions that avoid emissions in the first place, followed by those that reduce emissions.</w:t>
      </w:r>
      <w:r>
        <w:t xml:space="preserve"> </w:t>
      </w:r>
      <w:r w:rsidRPr="00C7330E">
        <w:t>Lower in the hierarchy are actions to replace high carbon energy sources with low carbon alternatives, and offsetting is seen as the last resort for any residual emissions.</w:t>
      </w:r>
    </w:p>
    <w:p w14:paraId="62ABBE86" w14:textId="12A4731C" w:rsidR="009E294F" w:rsidRPr="00C7330E" w:rsidRDefault="009E294F" w:rsidP="009E294F">
      <w:pPr>
        <w:numPr>
          <w:ilvl w:val="0"/>
          <w:numId w:val="0"/>
        </w:numPr>
        <w:jc w:val="center"/>
      </w:pPr>
    </w:p>
    <w:p w14:paraId="25A53F38" w14:textId="640C27EA" w:rsidR="00F6457A" w:rsidRDefault="00085834">
      <w:pPr>
        <w:numPr>
          <w:ilvl w:val="0"/>
          <w:numId w:val="0"/>
        </w:numPr>
        <w:spacing w:before="0"/>
      </w:pPr>
      <w:r>
        <w:t>I</w:t>
      </w:r>
      <w:r w:rsidR="00674318">
        <w:t>n</w:t>
      </w:r>
      <w:r>
        <w:t xml:space="preserve"> addition, we are working t</w:t>
      </w:r>
      <w:r w:rsidR="00674318">
        <w:t xml:space="preserve">o make available </w:t>
      </w:r>
      <w:r>
        <w:t>locally</w:t>
      </w:r>
      <w:r w:rsidR="00674318">
        <w:t xml:space="preserve"> </w:t>
      </w:r>
      <w:r>
        <w:t>based, high</w:t>
      </w:r>
      <w:r w:rsidR="00674318">
        <w:t>-</w:t>
      </w:r>
      <w:r>
        <w:t xml:space="preserve">integrity </w:t>
      </w:r>
      <w:r w:rsidR="00674318">
        <w:t>carbon offsets</w:t>
      </w:r>
      <w:r w:rsidR="00074678">
        <w:t xml:space="preserve"> that remove carbon </w:t>
      </w:r>
      <w:r w:rsidR="00A50692">
        <w:t>through natural solutions. This includes</w:t>
      </w:r>
      <w:r w:rsidR="00674318">
        <w:t xml:space="preserve"> the</w:t>
      </w:r>
      <w:r w:rsidR="00A50692">
        <w:t xml:space="preserve"> following </w:t>
      </w:r>
      <w:r w:rsidR="00674318">
        <w:t>projects</w:t>
      </w:r>
      <w:r w:rsidR="00A50692">
        <w:t>:</w:t>
      </w:r>
    </w:p>
    <w:p w14:paraId="4F770B87" w14:textId="7314E097" w:rsidR="00F6457A" w:rsidRPr="00EB704E" w:rsidRDefault="008A32A0" w:rsidP="00F6457A">
      <w:pPr>
        <w:pStyle w:val="ListBullet"/>
        <w:rPr>
          <w:lang w:val="en-GB"/>
        </w:rPr>
      </w:pPr>
      <w:r w:rsidRPr="00EB704E">
        <w:rPr>
          <w:lang w:val="en-GB"/>
        </w:rPr>
        <w:t>Establish</w:t>
      </w:r>
      <w:r w:rsidR="00A50C57">
        <w:rPr>
          <w:lang w:val="en-GB"/>
        </w:rPr>
        <w:t>ing</w:t>
      </w:r>
      <w:r w:rsidR="00F6457A" w:rsidRPr="00EB704E">
        <w:rPr>
          <w:lang w:val="en-GB"/>
        </w:rPr>
        <w:t xml:space="preserve"> </w:t>
      </w:r>
      <w:r w:rsidR="00B1525B" w:rsidRPr="00EB704E">
        <w:rPr>
          <w:lang w:val="en-GB"/>
        </w:rPr>
        <w:t>a</w:t>
      </w:r>
      <w:r w:rsidR="00F6457A" w:rsidRPr="00EB704E">
        <w:rPr>
          <w:lang w:val="en-GB"/>
        </w:rPr>
        <w:t xml:space="preserve"> delivery mechanism for local offsetting</w:t>
      </w:r>
      <w:r w:rsidR="00B1525B" w:rsidRPr="00EB704E">
        <w:rPr>
          <w:lang w:val="en-GB"/>
        </w:rPr>
        <w:t xml:space="preserve"> through Ocean City Nature</w:t>
      </w:r>
      <w:r w:rsidR="00E869D8">
        <w:rPr>
          <w:lang w:val="en-GB"/>
        </w:rPr>
        <w:t>.</w:t>
      </w:r>
    </w:p>
    <w:p w14:paraId="5D70C360" w14:textId="21DED9E9" w:rsidR="00F6457A" w:rsidRPr="00EB704E" w:rsidRDefault="00E869D8" w:rsidP="00F6457A">
      <w:pPr>
        <w:pStyle w:val="ListBullet"/>
        <w:rPr>
          <w:lang w:val="en-GB"/>
        </w:rPr>
      </w:pPr>
      <w:r>
        <w:rPr>
          <w:lang w:val="en-GB"/>
        </w:rPr>
        <w:t>D</w:t>
      </w:r>
      <w:r w:rsidR="00F6457A" w:rsidRPr="00EB704E">
        <w:rPr>
          <w:lang w:val="en-GB"/>
        </w:rPr>
        <w:t>eliver</w:t>
      </w:r>
      <w:r w:rsidR="00A50C57">
        <w:rPr>
          <w:lang w:val="en-GB"/>
        </w:rPr>
        <w:t>ing</w:t>
      </w:r>
      <w:r w:rsidR="00F6457A" w:rsidRPr="00EB704E">
        <w:rPr>
          <w:lang w:val="en-GB"/>
        </w:rPr>
        <w:t xml:space="preserve"> Plymouth and South Devon Community Forest Woodland Carbon Credits project</w:t>
      </w:r>
      <w:r>
        <w:rPr>
          <w:lang w:val="en-GB"/>
        </w:rPr>
        <w:t>.</w:t>
      </w:r>
    </w:p>
    <w:p w14:paraId="3C500339" w14:textId="3A1B1273" w:rsidR="00F6457A" w:rsidRPr="00EB704E" w:rsidRDefault="00E869D8" w:rsidP="00F6457A">
      <w:pPr>
        <w:pStyle w:val="ListBullet"/>
        <w:rPr>
          <w:lang w:val="en-GB"/>
        </w:rPr>
      </w:pPr>
      <w:r>
        <w:rPr>
          <w:lang w:val="en-GB"/>
        </w:rPr>
        <w:t>D</w:t>
      </w:r>
      <w:r w:rsidR="00F6457A" w:rsidRPr="00EB704E">
        <w:rPr>
          <w:lang w:val="en-GB"/>
        </w:rPr>
        <w:t>eliver</w:t>
      </w:r>
      <w:r w:rsidR="00AC697C">
        <w:rPr>
          <w:lang w:val="en-GB"/>
        </w:rPr>
        <w:t>ing</w:t>
      </w:r>
      <w:r w:rsidR="00F6457A" w:rsidRPr="00EB704E">
        <w:rPr>
          <w:lang w:val="en-GB"/>
        </w:rPr>
        <w:t xml:space="preserve"> the Council’s Plan for Trees</w:t>
      </w:r>
      <w:r w:rsidR="004066C5">
        <w:rPr>
          <w:lang w:val="en-GB"/>
        </w:rPr>
        <w:t xml:space="preserve">, which will also </w:t>
      </w:r>
      <w:r w:rsidR="00F6457A" w:rsidRPr="00EB704E">
        <w:rPr>
          <w:lang w:val="en-GB"/>
        </w:rPr>
        <w:t>improve the city’s resilience to the effects of climate change.</w:t>
      </w:r>
    </w:p>
    <w:p w14:paraId="64FE6522" w14:textId="421CBAD4" w:rsidR="009E294F" w:rsidRDefault="009E294F" w:rsidP="009E294F">
      <w:pPr>
        <w:pStyle w:val="Pagesubheading"/>
      </w:pPr>
      <w:r w:rsidRPr="00C7330E">
        <w:lastRenderedPageBreak/>
        <w:t xml:space="preserve">What are our key priorities for net zero? </w:t>
      </w:r>
    </w:p>
    <w:p w14:paraId="316B5AD4" w14:textId="77777777" w:rsidR="00EC6B64" w:rsidRDefault="00EC6B64" w:rsidP="009E294F">
      <w:pPr>
        <w:pStyle w:val="Pagesubheading"/>
      </w:pPr>
    </w:p>
    <w:tbl>
      <w:tblPr>
        <w:tblStyle w:val="TableGrid"/>
        <w:tblW w:w="0" w:type="auto"/>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tblLook w:val="04A0" w:firstRow="1" w:lastRow="0" w:firstColumn="1" w:lastColumn="0" w:noHBand="0" w:noVBand="1"/>
      </w:tblPr>
      <w:tblGrid>
        <w:gridCol w:w="4984"/>
        <w:gridCol w:w="4985"/>
      </w:tblGrid>
      <w:tr w:rsidR="00EC6B64" w14:paraId="12698726" w14:textId="77777777" w:rsidTr="76352147">
        <w:tc>
          <w:tcPr>
            <w:tcW w:w="4984" w:type="dxa"/>
            <w:shd w:val="clear" w:color="auto" w:fill="00B050"/>
          </w:tcPr>
          <w:p w14:paraId="3F23791F" w14:textId="19BB68F0" w:rsidR="00EC6B64" w:rsidRPr="001F3585" w:rsidRDefault="00EC6B64" w:rsidP="001F3585">
            <w:pPr>
              <w:numPr>
                <w:ilvl w:val="0"/>
                <w:numId w:val="0"/>
              </w:numPr>
              <w:spacing w:after="120"/>
              <w:rPr>
                <w:b/>
                <w:bCs/>
                <w:color w:val="FFFFFF" w:themeColor="background1"/>
                <w:lang w:val="en"/>
              </w:rPr>
            </w:pPr>
            <w:r w:rsidRPr="001F3585">
              <w:rPr>
                <w:b/>
                <w:bCs/>
                <w:color w:val="FFFFFF" w:themeColor="background1"/>
                <w:lang w:val="en"/>
              </w:rPr>
              <w:t>Corporate Priorities</w:t>
            </w:r>
          </w:p>
        </w:tc>
        <w:tc>
          <w:tcPr>
            <w:tcW w:w="4985" w:type="dxa"/>
            <w:shd w:val="clear" w:color="auto" w:fill="00B050"/>
          </w:tcPr>
          <w:p w14:paraId="4EEA6D22" w14:textId="4CB0D783" w:rsidR="00EC6B64" w:rsidRPr="001F3585" w:rsidRDefault="04B29719" w:rsidP="00AE5937">
            <w:pPr>
              <w:numPr>
                <w:ilvl w:val="0"/>
                <w:numId w:val="0"/>
              </w:numPr>
              <w:spacing w:after="120"/>
              <w:rPr>
                <w:b/>
                <w:bCs/>
                <w:color w:val="FFFFFF" w:themeColor="background1"/>
                <w:lang w:val="en"/>
              </w:rPr>
            </w:pPr>
            <w:r w:rsidRPr="76352147">
              <w:rPr>
                <w:b/>
                <w:bCs/>
                <w:color w:val="FFFFFF" w:themeColor="background1"/>
                <w:lang w:val="en"/>
              </w:rPr>
              <w:t>Citywide priorities</w:t>
            </w:r>
          </w:p>
        </w:tc>
      </w:tr>
      <w:tr w:rsidR="00EC6B64" w14:paraId="229FF7A3" w14:textId="77777777" w:rsidTr="76352147">
        <w:tc>
          <w:tcPr>
            <w:tcW w:w="4984" w:type="dxa"/>
          </w:tcPr>
          <w:p w14:paraId="50351AA5" w14:textId="0FBAA20C" w:rsidR="00315D64" w:rsidRPr="004A1E17" w:rsidRDefault="00022946" w:rsidP="00A043FC">
            <w:pPr>
              <w:pStyle w:val="Pagesubheading"/>
              <w:spacing w:after="120"/>
              <w:rPr>
                <w:b w:val="0"/>
                <w:bCs w:val="0"/>
              </w:rPr>
            </w:pPr>
            <w:r>
              <w:rPr>
                <w:b w:val="0"/>
                <w:bCs w:val="0"/>
              </w:rPr>
              <w:t xml:space="preserve">Rationalise </w:t>
            </w:r>
            <w:r w:rsidR="00967338">
              <w:rPr>
                <w:b w:val="0"/>
                <w:bCs w:val="0"/>
              </w:rPr>
              <w:t xml:space="preserve">and decarbonise </w:t>
            </w:r>
            <w:r>
              <w:rPr>
                <w:b w:val="0"/>
                <w:bCs w:val="0"/>
              </w:rPr>
              <w:t>our</w:t>
            </w:r>
            <w:r w:rsidR="00315D64" w:rsidRPr="004A1E17">
              <w:rPr>
                <w:b w:val="0"/>
                <w:bCs w:val="0"/>
              </w:rPr>
              <w:t xml:space="preserve"> fleet of vehicles</w:t>
            </w:r>
            <w:r w:rsidR="00530400">
              <w:rPr>
                <w:b w:val="0"/>
                <w:bCs w:val="0"/>
              </w:rPr>
              <w:t>.</w:t>
            </w:r>
            <w:r>
              <w:rPr>
                <w:b w:val="0"/>
                <w:bCs w:val="0"/>
              </w:rPr>
              <w:t xml:space="preserve"> </w:t>
            </w:r>
          </w:p>
        </w:tc>
        <w:tc>
          <w:tcPr>
            <w:tcW w:w="4985" w:type="dxa"/>
          </w:tcPr>
          <w:p w14:paraId="204C1A77" w14:textId="5074AE90" w:rsidR="00EC6B64" w:rsidRPr="004A1E17" w:rsidRDefault="00282D1F" w:rsidP="00A043FC">
            <w:pPr>
              <w:pStyle w:val="Pagesubheading"/>
              <w:spacing w:after="120"/>
              <w:rPr>
                <w:b w:val="0"/>
                <w:bCs w:val="0"/>
              </w:rPr>
            </w:pPr>
            <w:r>
              <w:rPr>
                <w:b w:val="0"/>
                <w:bCs w:val="0"/>
              </w:rPr>
              <w:t>Support walking, cycling and public transport</w:t>
            </w:r>
            <w:r w:rsidR="00530400">
              <w:rPr>
                <w:b w:val="0"/>
                <w:bCs w:val="0"/>
              </w:rPr>
              <w:t>.</w:t>
            </w:r>
          </w:p>
        </w:tc>
      </w:tr>
      <w:tr w:rsidR="00A043FC" w14:paraId="1720B0D3" w14:textId="77777777" w:rsidTr="76352147">
        <w:tc>
          <w:tcPr>
            <w:tcW w:w="4984" w:type="dxa"/>
            <w:vMerge w:val="restart"/>
          </w:tcPr>
          <w:p w14:paraId="6DEBE8BA" w14:textId="5E277ED8" w:rsidR="00A043FC" w:rsidRPr="004A1E17" w:rsidRDefault="009E451E" w:rsidP="00A043FC">
            <w:pPr>
              <w:pStyle w:val="Pagesubheading"/>
              <w:spacing w:after="120"/>
              <w:rPr>
                <w:b w:val="0"/>
                <w:bCs w:val="0"/>
              </w:rPr>
            </w:pPr>
            <w:r>
              <w:rPr>
                <w:b w:val="0"/>
                <w:bCs w:val="0"/>
              </w:rPr>
              <w:t>Invest in renewables and energy efficiency measures</w:t>
            </w:r>
            <w:r w:rsidRPr="004A1E17">
              <w:rPr>
                <w:b w:val="0"/>
                <w:bCs w:val="0"/>
              </w:rPr>
              <w:t xml:space="preserve"> across our corporate estate</w:t>
            </w:r>
            <w:r>
              <w:rPr>
                <w:b w:val="0"/>
                <w:bCs w:val="0"/>
              </w:rPr>
              <w:t xml:space="preserve"> and infrastructure.</w:t>
            </w:r>
          </w:p>
        </w:tc>
        <w:tc>
          <w:tcPr>
            <w:tcW w:w="4985" w:type="dxa"/>
          </w:tcPr>
          <w:p w14:paraId="0E4C1079" w14:textId="2759A893" w:rsidR="00A043FC" w:rsidRPr="004A1E17" w:rsidRDefault="00A043FC" w:rsidP="00A043FC">
            <w:pPr>
              <w:pStyle w:val="Pagesubheading"/>
              <w:spacing w:after="120"/>
              <w:rPr>
                <w:b w:val="0"/>
                <w:bCs w:val="0"/>
              </w:rPr>
            </w:pPr>
            <w:r>
              <w:rPr>
                <w:b w:val="0"/>
                <w:bCs w:val="0"/>
              </w:rPr>
              <w:t>Improve electric vehicle infrastructure</w:t>
            </w:r>
            <w:r w:rsidR="00530400">
              <w:rPr>
                <w:b w:val="0"/>
                <w:bCs w:val="0"/>
              </w:rPr>
              <w:t>.</w:t>
            </w:r>
          </w:p>
        </w:tc>
      </w:tr>
      <w:tr w:rsidR="00A043FC" w14:paraId="4EDBCD97" w14:textId="77777777" w:rsidTr="76352147">
        <w:tc>
          <w:tcPr>
            <w:tcW w:w="4984" w:type="dxa"/>
            <w:vMerge/>
          </w:tcPr>
          <w:p w14:paraId="5C2C5156" w14:textId="0C426AA1" w:rsidR="00A043FC" w:rsidRDefault="00A043FC" w:rsidP="00A043FC">
            <w:pPr>
              <w:pStyle w:val="Pagesubheading"/>
              <w:spacing w:after="120"/>
            </w:pPr>
          </w:p>
        </w:tc>
        <w:tc>
          <w:tcPr>
            <w:tcW w:w="4985" w:type="dxa"/>
          </w:tcPr>
          <w:p w14:paraId="2B394369" w14:textId="6B015D74" w:rsidR="00A043FC" w:rsidRDefault="00A043FC" w:rsidP="00A043FC">
            <w:pPr>
              <w:pStyle w:val="Pagesubheading"/>
              <w:spacing w:after="120"/>
            </w:pPr>
            <w:r w:rsidRPr="004A1E17">
              <w:rPr>
                <w:b w:val="0"/>
                <w:bCs w:val="0"/>
              </w:rPr>
              <w:t xml:space="preserve">Implement a </w:t>
            </w:r>
            <w:r>
              <w:rPr>
                <w:b w:val="0"/>
                <w:bCs w:val="0"/>
              </w:rPr>
              <w:t xml:space="preserve">strategic </w:t>
            </w:r>
            <w:r w:rsidRPr="004A1E17">
              <w:rPr>
                <w:b w:val="0"/>
                <w:bCs w:val="0"/>
              </w:rPr>
              <w:t>heat network</w:t>
            </w:r>
            <w:r>
              <w:rPr>
                <w:b w:val="0"/>
                <w:bCs w:val="0"/>
              </w:rPr>
              <w:t>.</w:t>
            </w:r>
          </w:p>
        </w:tc>
      </w:tr>
      <w:tr w:rsidR="005D2088" w14:paraId="78D8AFCF" w14:textId="77777777" w:rsidTr="76352147">
        <w:tc>
          <w:tcPr>
            <w:tcW w:w="4984" w:type="dxa"/>
          </w:tcPr>
          <w:p w14:paraId="41B4CBA1" w14:textId="1BF6DC74" w:rsidR="009E451E" w:rsidRDefault="009E451E" w:rsidP="00A043FC">
            <w:pPr>
              <w:pStyle w:val="Pagesubheading"/>
              <w:spacing w:after="120"/>
            </w:pPr>
            <w:r>
              <w:rPr>
                <w:b w:val="0"/>
                <w:bCs w:val="0"/>
              </w:rPr>
              <w:t>Change our working practices to reduce emissions from business travel, purchasing and service delivery.</w:t>
            </w:r>
          </w:p>
        </w:tc>
        <w:tc>
          <w:tcPr>
            <w:tcW w:w="4985" w:type="dxa"/>
          </w:tcPr>
          <w:p w14:paraId="4FF4AE89" w14:textId="5DA64EB9" w:rsidR="005D2088" w:rsidRPr="004A1E17" w:rsidRDefault="005D2088" w:rsidP="00A043FC">
            <w:pPr>
              <w:pStyle w:val="Pagesubheading"/>
              <w:spacing w:after="120"/>
              <w:rPr>
                <w:b w:val="0"/>
                <w:bCs w:val="0"/>
              </w:rPr>
            </w:pPr>
            <w:r w:rsidRPr="005D2088">
              <w:rPr>
                <w:b w:val="0"/>
                <w:bCs w:val="0"/>
              </w:rPr>
              <w:t xml:space="preserve">Continue to deliver </w:t>
            </w:r>
            <w:r>
              <w:rPr>
                <w:b w:val="0"/>
                <w:bCs w:val="0"/>
              </w:rPr>
              <w:t xml:space="preserve">housing retrofit </w:t>
            </w:r>
            <w:r w:rsidRPr="005D2088">
              <w:rPr>
                <w:b w:val="0"/>
                <w:bCs w:val="0"/>
              </w:rPr>
              <w:t>schemes that support households in achieving greater energy efficiency and renewable energy generation</w:t>
            </w:r>
            <w:r w:rsidR="00F04D61">
              <w:rPr>
                <w:b w:val="0"/>
                <w:bCs w:val="0"/>
              </w:rPr>
              <w:t>.</w:t>
            </w:r>
          </w:p>
        </w:tc>
      </w:tr>
      <w:tr w:rsidR="00F04D61" w14:paraId="3B9B331D" w14:textId="77777777" w:rsidTr="76352147">
        <w:tc>
          <w:tcPr>
            <w:tcW w:w="4984" w:type="dxa"/>
          </w:tcPr>
          <w:p w14:paraId="08D6FEBD" w14:textId="77777777" w:rsidR="00F04D61" w:rsidRDefault="00F04D61" w:rsidP="00F04D61">
            <w:pPr>
              <w:pStyle w:val="Pagesubheading"/>
              <w:spacing w:after="120"/>
              <w:rPr>
                <w:b w:val="0"/>
                <w:bCs w:val="0"/>
              </w:rPr>
            </w:pPr>
          </w:p>
        </w:tc>
        <w:tc>
          <w:tcPr>
            <w:tcW w:w="4985" w:type="dxa"/>
          </w:tcPr>
          <w:p w14:paraId="3AF7483E" w14:textId="6E091959" w:rsidR="00F04D61" w:rsidRPr="005D2088" w:rsidRDefault="00F04D61" w:rsidP="00F04D61">
            <w:pPr>
              <w:pStyle w:val="Pagesubheading"/>
              <w:spacing w:after="120"/>
              <w:rPr>
                <w:b w:val="0"/>
                <w:bCs w:val="0"/>
              </w:rPr>
            </w:pPr>
            <w:r>
              <w:rPr>
                <w:b w:val="0"/>
                <w:bCs w:val="0"/>
              </w:rPr>
              <w:t>Engage all residents, organisations and stakeholders in the Net Zero mission.</w:t>
            </w:r>
          </w:p>
        </w:tc>
      </w:tr>
    </w:tbl>
    <w:p w14:paraId="1C59E0AB" w14:textId="004EE5F2" w:rsidR="009E294F" w:rsidRPr="00C7330E" w:rsidRDefault="009E294F" w:rsidP="00B40BBA">
      <w:r>
        <w:t xml:space="preserve">The </w:t>
      </w:r>
      <w:hyperlink r:id="rId17">
        <w:r w:rsidR="0C79D9CB" w:rsidRPr="76352147">
          <w:rPr>
            <w:rStyle w:val="Hyperlink"/>
          </w:rPr>
          <w:t>Plymouth Climate Connections website</w:t>
        </w:r>
      </w:hyperlink>
      <w:r>
        <w:t xml:space="preserve"> identifies the key </w:t>
      </w:r>
      <w:r w:rsidR="00B40BBA">
        <w:t xml:space="preserve">priorities for the </w:t>
      </w:r>
      <w:r>
        <w:t>cit</w:t>
      </w:r>
      <w:r w:rsidR="00B40BBA">
        <w:t>y. T</w:t>
      </w:r>
      <w:r w:rsidRPr="00C7330E">
        <w:t xml:space="preserve">he NZAP </w:t>
      </w:r>
      <w:r w:rsidR="00D06041">
        <w:t xml:space="preserve">aligns </w:t>
      </w:r>
      <w:r w:rsidR="00027D06">
        <w:t xml:space="preserve">the Council’s activities </w:t>
      </w:r>
      <w:r w:rsidR="00D06041">
        <w:t>with</w:t>
      </w:r>
      <w:r w:rsidRPr="00C7330E">
        <w:t xml:space="preserve"> these priorities</w:t>
      </w:r>
      <w:r w:rsidR="00027D06">
        <w:t xml:space="preserve">. Action </w:t>
      </w:r>
      <w:r w:rsidRPr="00C7330E">
        <w:t xml:space="preserve">commitments </w:t>
      </w:r>
      <w:r w:rsidR="00027D06">
        <w:t xml:space="preserve">are grouped </w:t>
      </w:r>
      <w:r w:rsidRPr="00C7330E">
        <w:t xml:space="preserve">under </w:t>
      </w:r>
      <w:r w:rsidR="004C2ED4">
        <w:t>three</w:t>
      </w:r>
      <w:r w:rsidRPr="00C7330E">
        <w:t xml:space="preserve"> themes: </w:t>
      </w:r>
    </w:p>
    <w:p w14:paraId="3F0CCD5F" w14:textId="56E34C68" w:rsidR="009E294F" w:rsidRPr="00C7330E" w:rsidRDefault="009E294F" w:rsidP="009E294F">
      <w:pPr>
        <w:pStyle w:val="ListSubbullet"/>
      </w:pPr>
      <w:r w:rsidRPr="00C7330E">
        <w:t>Transport</w:t>
      </w:r>
      <w:r w:rsidR="00E869D8">
        <w:t>,</w:t>
      </w:r>
    </w:p>
    <w:p w14:paraId="692F99C3" w14:textId="2A55A424" w:rsidR="009E294F" w:rsidRPr="00C7330E" w:rsidRDefault="009E294F" w:rsidP="009E294F">
      <w:pPr>
        <w:pStyle w:val="ListSubbullet"/>
      </w:pPr>
      <w:r w:rsidRPr="53360DED">
        <w:rPr>
          <w:lang w:val="en-US"/>
        </w:rPr>
        <w:t xml:space="preserve">Buildings, </w:t>
      </w:r>
      <w:r w:rsidR="006356F0" w:rsidRPr="53360DED">
        <w:rPr>
          <w:lang w:val="en-US"/>
        </w:rPr>
        <w:t>heat,</w:t>
      </w:r>
      <w:r w:rsidRPr="53360DED">
        <w:rPr>
          <w:lang w:val="en-US"/>
        </w:rPr>
        <w:t xml:space="preserve"> and </w:t>
      </w:r>
      <w:r w:rsidR="00642633" w:rsidRPr="53360DED">
        <w:rPr>
          <w:lang w:val="en-US"/>
        </w:rPr>
        <w:t>p</w:t>
      </w:r>
      <w:r w:rsidRPr="53360DED">
        <w:rPr>
          <w:lang w:val="en-US"/>
        </w:rPr>
        <w:t>ower</w:t>
      </w:r>
      <w:r w:rsidR="00E869D8" w:rsidRPr="53360DED">
        <w:rPr>
          <w:lang w:val="en-US"/>
        </w:rPr>
        <w:t>,</w:t>
      </w:r>
    </w:p>
    <w:p w14:paraId="1F630B58" w14:textId="7DF6F1A2" w:rsidR="009E294F" w:rsidRDefault="009E294F" w:rsidP="004C2ED4">
      <w:pPr>
        <w:pStyle w:val="ListSubbullet"/>
      </w:pPr>
      <w:r w:rsidRPr="52E7B01D">
        <w:rPr>
          <w:lang w:val="en-US"/>
        </w:rPr>
        <w:t>Behaviour change</w:t>
      </w:r>
      <w:r w:rsidR="00C548AA">
        <w:rPr>
          <w:lang w:val="en-US"/>
        </w:rPr>
        <w:t>.</w:t>
      </w:r>
    </w:p>
    <w:p w14:paraId="5998175F" w14:textId="77777777" w:rsidR="009E294F" w:rsidRPr="00C7330E" w:rsidRDefault="009E294F" w:rsidP="009E294F">
      <w:pPr>
        <w:pStyle w:val="ListSubbullet"/>
        <w:numPr>
          <w:ilvl w:val="0"/>
          <w:numId w:val="0"/>
        </w:numPr>
        <w:ind w:left="644"/>
      </w:pPr>
    </w:p>
    <w:p w14:paraId="35B6E48B" w14:textId="77777777" w:rsidR="009E294F" w:rsidRPr="00C7330E" w:rsidRDefault="009E294F" w:rsidP="009E294F">
      <w:pPr>
        <w:pStyle w:val="Numberedpagesubheading"/>
        <w:numPr>
          <w:ilvl w:val="0"/>
          <w:numId w:val="0"/>
        </w:numPr>
        <w:rPr>
          <w:i/>
        </w:rPr>
      </w:pPr>
      <w:r w:rsidRPr="00C7330E">
        <w:rPr>
          <w:i/>
        </w:rPr>
        <w:t>Transport</w:t>
      </w:r>
    </w:p>
    <w:p w14:paraId="446A7D77" w14:textId="4CFAD038" w:rsidR="009E294F" w:rsidRPr="00C7330E" w:rsidRDefault="009E294F" w:rsidP="52E7B01D">
      <w:pPr>
        <w:rPr>
          <w:lang w:val="en-US"/>
        </w:rPr>
      </w:pPr>
      <w:r w:rsidRPr="52E7B01D">
        <w:rPr>
          <w:lang w:val="en-US"/>
        </w:rPr>
        <w:t>According to our June 202</w:t>
      </w:r>
      <w:r w:rsidR="00123FD7" w:rsidRPr="52E7B01D">
        <w:rPr>
          <w:lang w:val="en-US"/>
        </w:rPr>
        <w:t>4</w:t>
      </w:r>
      <w:r w:rsidRPr="52E7B01D">
        <w:rPr>
          <w:lang w:val="en-US"/>
        </w:rPr>
        <w:t xml:space="preserve"> Corporate Emissions Monitoring Report, </w:t>
      </w:r>
      <w:r w:rsidR="00134BAC" w:rsidRPr="52E7B01D">
        <w:rPr>
          <w:lang w:val="en-US"/>
        </w:rPr>
        <w:t>transport</w:t>
      </w:r>
      <w:r w:rsidRPr="52E7B01D">
        <w:rPr>
          <w:lang w:val="en-US"/>
        </w:rPr>
        <w:t xml:space="preserve"> accounted for </w:t>
      </w:r>
      <w:r w:rsidR="00C312B6" w:rsidRPr="52E7B01D">
        <w:rPr>
          <w:lang w:val="en-US"/>
        </w:rPr>
        <w:t xml:space="preserve">nearly </w:t>
      </w:r>
      <w:r w:rsidR="00134BAC" w:rsidRPr="52E7B01D">
        <w:rPr>
          <w:lang w:val="en-US"/>
        </w:rPr>
        <w:t>33</w:t>
      </w:r>
      <w:r w:rsidRPr="52E7B01D">
        <w:rPr>
          <w:lang w:val="en-US"/>
        </w:rPr>
        <w:t xml:space="preserve">% of </w:t>
      </w:r>
      <w:r w:rsidR="00476950" w:rsidRPr="52E7B01D">
        <w:rPr>
          <w:lang w:val="en-US"/>
        </w:rPr>
        <w:t>the</w:t>
      </w:r>
      <w:r w:rsidRPr="52E7B01D">
        <w:rPr>
          <w:lang w:val="en-US"/>
        </w:rPr>
        <w:t xml:space="preserve"> carbon emissions</w:t>
      </w:r>
      <w:r w:rsidR="00476950" w:rsidRPr="52E7B01D">
        <w:rPr>
          <w:lang w:val="en-US"/>
        </w:rPr>
        <w:t xml:space="preserve"> within our direct control</w:t>
      </w:r>
      <w:r w:rsidRPr="52E7B01D">
        <w:rPr>
          <w:lang w:val="en-US"/>
        </w:rPr>
        <w:t xml:space="preserve"> in 202</w:t>
      </w:r>
      <w:r w:rsidR="00476950" w:rsidRPr="52E7B01D">
        <w:rPr>
          <w:lang w:val="en-US"/>
        </w:rPr>
        <w:t>3/24</w:t>
      </w:r>
      <w:r w:rsidRPr="52E7B01D">
        <w:rPr>
          <w:lang w:val="en-US"/>
        </w:rPr>
        <w:t xml:space="preserve">. </w:t>
      </w:r>
    </w:p>
    <w:p w14:paraId="445C1752" w14:textId="77777777" w:rsidR="009E294F" w:rsidRDefault="009E294F" w:rsidP="52E7B01D">
      <w:pPr>
        <w:rPr>
          <w:lang w:val="en-US"/>
        </w:rPr>
      </w:pPr>
      <w:r w:rsidRPr="52E7B01D">
        <w:rPr>
          <w:lang w:val="en-US"/>
        </w:rPr>
        <w:t xml:space="preserve">The decarbonisation of our fleet of small vehicles is already underway. Transitioning our fleet of larger vehicles presents technological, financial, and organizational challenges that require considerable forward planning. </w:t>
      </w:r>
    </w:p>
    <w:p w14:paraId="1BF77D82" w14:textId="627D03E4" w:rsidR="009E294F" w:rsidRDefault="009E294F" w:rsidP="009E294F">
      <w:pPr>
        <w:numPr>
          <w:ilvl w:val="0"/>
          <w:numId w:val="0"/>
        </w:numPr>
      </w:pPr>
      <w:r>
        <w:t xml:space="preserve">According to the </w:t>
      </w:r>
      <w:r w:rsidRPr="00F65A35">
        <w:rPr>
          <w:color w:val="000000" w:themeColor="text1"/>
        </w:rPr>
        <w:t>Plymouth Greenhouse Gas Report</w:t>
      </w:r>
      <w:r w:rsidR="00463306" w:rsidRPr="00F65A35">
        <w:rPr>
          <w:color w:val="000000" w:themeColor="text1"/>
        </w:rPr>
        <w:t xml:space="preserve"> 202</w:t>
      </w:r>
      <w:r w:rsidR="00770A16" w:rsidRPr="00F65A35">
        <w:rPr>
          <w:color w:val="000000" w:themeColor="text1"/>
        </w:rPr>
        <w:t>4</w:t>
      </w:r>
      <w:r w:rsidRPr="00770A16">
        <w:t>,</w:t>
      </w:r>
      <w:r w:rsidRPr="00EE6B06">
        <w:rPr>
          <w:color w:val="FF0000"/>
        </w:rPr>
        <w:t xml:space="preserve"> </w:t>
      </w:r>
      <w:r>
        <w:t>t</w:t>
      </w:r>
      <w:r w:rsidRPr="00C7330E">
        <w:t xml:space="preserve">ransport accounted for </w:t>
      </w:r>
      <w:r w:rsidR="00770A16">
        <w:t>34%</w:t>
      </w:r>
      <w:r w:rsidRPr="00C7330E">
        <w:t xml:space="preserve"> of our city’s emissions in </w:t>
      </w:r>
      <w:r w:rsidRPr="00770A16">
        <w:t>202</w:t>
      </w:r>
      <w:r w:rsidR="00EE6B06" w:rsidRPr="00770A16">
        <w:t>2</w:t>
      </w:r>
      <w:r w:rsidR="00130EAB">
        <w:t>. Th</w:t>
      </w:r>
      <w:r w:rsidR="0044201A">
        <w:t>is proportion has increased</w:t>
      </w:r>
      <w:r w:rsidR="00EE2E55">
        <w:t xml:space="preserve"> (from 28% in 2021)</w:t>
      </w:r>
      <w:r w:rsidR="0044201A">
        <w:t xml:space="preserve"> as other sectors are decarbonising faster</w:t>
      </w:r>
      <w:r w:rsidRPr="00C7330E">
        <w:t xml:space="preserve">. Tackling city transport emissions will require a shift in the uptake of </w:t>
      </w:r>
      <w:r w:rsidR="00FE0938">
        <w:t>walking, cycling</w:t>
      </w:r>
      <w:r w:rsidRPr="00C7330E">
        <w:t xml:space="preserve"> and public transport, as well as measures to replace petrol combustion vehicles with electric vehicles.</w:t>
      </w:r>
      <w:r w:rsidRPr="00C7330E">
        <w:rPr>
          <w:lang w:val="en"/>
        </w:rPr>
        <w:t xml:space="preserve"> The NZAP outlines policies and infrastructure proposals that support members of the public with making this change. </w:t>
      </w:r>
      <w:r w:rsidRPr="00C7330E">
        <w:t xml:space="preserve">Go to </w:t>
      </w:r>
      <w:hyperlink r:id="rId18">
        <w:r w:rsidRPr="00C7330E">
          <w:rPr>
            <w:rStyle w:val="Hyperlink"/>
          </w:rPr>
          <w:t>Climate Connections Plymouth</w:t>
        </w:r>
      </w:hyperlink>
      <w:r w:rsidRPr="00C7330E">
        <w:t xml:space="preserve"> website for a summary of the city-wide picture on transport emissions.</w:t>
      </w:r>
    </w:p>
    <w:p w14:paraId="00969A1B" w14:textId="77777777" w:rsidR="009E294F" w:rsidRDefault="009E294F" w:rsidP="009E294F">
      <w:pPr>
        <w:numPr>
          <w:ilvl w:val="0"/>
          <w:numId w:val="0"/>
        </w:numPr>
      </w:pPr>
      <w:r>
        <w:t>Measures set out in the NZAP that have the greatest potential to reduce emissions substantially include:</w:t>
      </w:r>
    </w:p>
    <w:p w14:paraId="6288E41B" w14:textId="1C8A3517" w:rsidR="009E294F" w:rsidRPr="00AE7A2D" w:rsidRDefault="00B069F6" w:rsidP="009E294F">
      <w:pPr>
        <w:pStyle w:val="ListSubbullet"/>
      </w:pPr>
      <w:r>
        <w:t>I</w:t>
      </w:r>
      <w:r w:rsidR="00A71063" w:rsidRPr="00AE7A2D">
        <w:t>mplementing</w:t>
      </w:r>
      <w:r w:rsidR="009E294F" w:rsidRPr="00AE7A2D">
        <w:t xml:space="preserve"> the Electric Vehicle Charging Infrastructure Strategy for the City (T4)</w:t>
      </w:r>
      <w:r w:rsidR="00CC3D33">
        <w:t>.</w:t>
      </w:r>
    </w:p>
    <w:p w14:paraId="0662A7EE" w14:textId="55BC020E" w:rsidR="00AE7A2D" w:rsidRPr="00AE7A2D" w:rsidRDefault="00B069F6" w:rsidP="00AE7A2D">
      <w:pPr>
        <w:pStyle w:val="ListSubbullet"/>
        <w:rPr>
          <w:lang w:val="en-US"/>
        </w:rPr>
      </w:pPr>
      <w:r>
        <w:rPr>
          <w:lang w:val="en-US"/>
        </w:rPr>
        <w:t>I</w:t>
      </w:r>
      <w:r w:rsidR="00AE7A2D" w:rsidRPr="00AE7A2D">
        <w:rPr>
          <w:lang w:val="en-US"/>
        </w:rPr>
        <w:t>mplement</w:t>
      </w:r>
      <w:r w:rsidR="0056724D">
        <w:rPr>
          <w:lang w:val="en-US"/>
        </w:rPr>
        <w:t>ing</w:t>
      </w:r>
      <w:r w:rsidR="00AE7A2D" w:rsidRPr="00AE7A2D">
        <w:rPr>
          <w:lang w:val="en-US"/>
        </w:rPr>
        <w:t xml:space="preserve"> the Plymouth Zero Emission Bus Regional Area 2 Fund project in full delivering 5</w:t>
      </w:r>
      <w:r w:rsidR="00DC5825">
        <w:rPr>
          <w:lang w:val="en-US"/>
        </w:rPr>
        <w:t>9</w:t>
      </w:r>
      <w:r w:rsidR="00AE7A2D" w:rsidRPr="00AE7A2D">
        <w:rPr>
          <w:lang w:val="en-US"/>
        </w:rPr>
        <w:t xml:space="preserve"> electric double decker buses and associated charging infrastructure</w:t>
      </w:r>
      <w:r w:rsidR="00CC3D33">
        <w:rPr>
          <w:lang w:val="en-US"/>
        </w:rPr>
        <w:t xml:space="preserve"> </w:t>
      </w:r>
      <w:r w:rsidR="00AE7A2D" w:rsidRPr="00AE7A2D">
        <w:rPr>
          <w:lang w:val="en-US"/>
        </w:rPr>
        <w:t>(T5)</w:t>
      </w:r>
      <w:r w:rsidR="00CC3D33">
        <w:rPr>
          <w:lang w:val="en-US"/>
        </w:rPr>
        <w:t>.</w:t>
      </w:r>
    </w:p>
    <w:p w14:paraId="38A3BCA5" w14:textId="77777777" w:rsidR="009E294F" w:rsidRPr="00C7330E" w:rsidRDefault="009E294F" w:rsidP="009E294F">
      <w:pPr>
        <w:numPr>
          <w:ilvl w:val="0"/>
          <w:numId w:val="0"/>
        </w:numPr>
      </w:pPr>
    </w:p>
    <w:p w14:paraId="7C88E1CD" w14:textId="61586C45" w:rsidR="009E294F" w:rsidRPr="00C7330E" w:rsidRDefault="009E294F" w:rsidP="009E294F">
      <w:pPr>
        <w:pStyle w:val="Numberedpagesubheading"/>
        <w:numPr>
          <w:ilvl w:val="0"/>
          <w:numId w:val="0"/>
        </w:numPr>
        <w:rPr>
          <w:i/>
        </w:rPr>
      </w:pPr>
      <w:r w:rsidRPr="00C7330E">
        <w:rPr>
          <w:i/>
        </w:rPr>
        <w:t>Buildings, Power</w:t>
      </w:r>
      <w:r w:rsidR="00F70A5A">
        <w:rPr>
          <w:i/>
        </w:rPr>
        <w:t>,</w:t>
      </w:r>
      <w:r w:rsidRPr="00C7330E">
        <w:rPr>
          <w:i/>
        </w:rPr>
        <w:t xml:space="preserve"> and Heat </w:t>
      </w:r>
    </w:p>
    <w:p w14:paraId="2A4B69D7" w14:textId="4ACA759B" w:rsidR="009E294F" w:rsidRPr="00C7330E" w:rsidRDefault="009E294F" w:rsidP="009E294F">
      <w:pPr>
        <w:numPr>
          <w:ilvl w:val="0"/>
          <w:numId w:val="0"/>
        </w:numPr>
      </w:pPr>
      <w:r w:rsidRPr="00C7330E">
        <w:t>In 202</w:t>
      </w:r>
      <w:r w:rsidR="00724DBC">
        <w:t>3/24</w:t>
      </w:r>
      <w:r w:rsidRPr="00C7330E">
        <w:t xml:space="preserve">, </w:t>
      </w:r>
      <w:r w:rsidR="000333A8">
        <w:t>60</w:t>
      </w:r>
      <w:r w:rsidRPr="00C7330E">
        <w:t xml:space="preserve">% of our corporate emissions were generated through electricity </w:t>
      </w:r>
      <w:r w:rsidR="00B37A64">
        <w:t xml:space="preserve">and gas </w:t>
      </w:r>
      <w:r w:rsidRPr="00C7330E">
        <w:t xml:space="preserve">use in council buildings and to power street furniture, including lighting and traffic lights. </w:t>
      </w:r>
    </w:p>
    <w:p w14:paraId="2A281408" w14:textId="77777777" w:rsidR="009E294F" w:rsidRDefault="009E294F" w:rsidP="009E294F">
      <w:pPr>
        <w:numPr>
          <w:ilvl w:val="0"/>
          <w:numId w:val="0"/>
        </w:numPr>
      </w:pPr>
      <w:r w:rsidRPr="00C7330E">
        <w:rPr>
          <w:lang w:val="en"/>
        </w:rPr>
        <w:lastRenderedPageBreak/>
        <w:t>Our actions will focus on the corporate buildings we use to deliver our services and the built infrastructure we maintain. We will take action to increase to its maximum the energy efficiency of our existing and future estate and to shift our energy demand to renewable energy. This also includes actions</w:t>
      </w:r>
      <w:r w:rsidRPr="00C7330E">
        <w:t xml:space="preserve"> to minimise fugitive emissions and water consumption; actions to minimise carbon emissions from our repair and maintenance activities and actions to minimise carbon emissions from any new buildings we commission. </w:t>
      </w:r>
    </w:p>
    <w:p w14:paraId="5E952FDA" w14:textId="7F520E26" w:rsidR="009E294F" w:rsidRPr="00C7330E" w:rsidRDefault="009E294F" w:rsidP="009E294F">
      <w:pPr>
        <w:numPr>
          <w:ilvl w:val="0"/>
          <w:numId w:val="0"/>
        </w:numPr>
      </w:pPr>
      <w:r>
        <w:t xml:space="preserve">In </w:t>
      </w:r>
      <w:r w:rsidRPr="00F36453">
        <w:t>202</w:t>
      </w:r>
      <w:r w:rsidR="00664F61" w:rsidRPr="00F36453">
        <w:t>2</w:t>
      </w:r>
      <w:r>
        <w:t>, a</w:t>
      </w:r>
      <w:r w:rsidRPr="00C7330E">
        <w:t xml:space="preserve">bout </w:t>
      </w:r>
      <w:r w:rsidRPr="00F36453">
        <w:t>2</w:t>
      </w:r>
      <w:r w:rsidR="00664F61" w:rsidRPr="00F36453">
        <w:t>6</w:t>
      </w:r>
      <w:r w:rsidRPr="00F36453">
        <w:t>%</w:t>
      </w:r>
      <w:r w:rsidRPr="009F3EF9">
        <w:rPr>
          <w:color w:val="FF0000"/>
        </w:rPr>
        <w:t xml:space="preserve"> </w:t>
      </w:r>
      <w:r w:rsidRPr="00C7330E">
        <w:t xml:space="preserve">of the city’s </w:t>
      </w:r>
      <w:r>
        <w:t>greenhouse gas</w:t>
      </w:r>
      <w:r w:rsidRPr="00C7330E">
        <w:t xml:space="preserve"> emissions </w:t>
      </w:r>
      <w:r>
        <w:t>we</w:t>
      </w:r>
      <w:r w:rsidRPr="00C7330E">
        <w:t xml:space="preserve">re attributable to </w:t>
      </w:r>
      <w:r>
        <w:t xml:space="preserve">heating, and </w:t>
      </w:r>
      <w:r w:rsidRPr="00882E71">
        <w:t>1</w:t>
      </w:r>
      <w:r w:rsidR="00882E71" w:rsidRPr="00882E71">
        <w:t>7%</w:t>
      </w:r>
      <w:r>
        <w:t xml:space="preserve"> of the emissions were associated with generating electricity for our buildings</w:t>
      </w:r>
      <w:r w:rsidRPr="00C7330E">
        <w:t xml:space="preserve">. The transition to net zero involves a shift towards renewable energy for heating (heat pumps and heat networks) and rapid large-scale insulation of private and commercial buildings across the city. We will act in support of the decarbonisation of power and heat in the city through our planning functions. </w:t>
      </w:r>
    </w:p>
    <w:p w14:paraId="1C5999D6" w14:textId="77777777" w:rsidR="009E294F" w:rsidRDefault="009E294F" w:rsidP="009E294F">
      <w:pPr>
        <w:numPr>
          <w:ilvl w:val="0"/>
          <w:numId w:val="0"/>
        </w:numPr>
      </w:pPr>
      <w:r w:rsidRPr="00C7330E">
        <w:t xml:space="preserve">Go to </w:t>
      </w:r>
      <w:hyperlink r:id="rId19">
        <w:r w:rsidRPr="00C7330E">
          <w:rPr>
            <w:rStyle w:val="Hyperlink"/>
          </w:rPr>
          <w:t>Climate Connections Plymouth</w:t>
        </w:r>
      </w:hyperlink>
      <w:r w:rsidRPr="00C7330E">
        <w:t xml:space="preserve"> website for a summary of the city-wide picture on buildings, power, and heat emissions.</w:t>
      </w:r>
    </w:p>
    <w:p w14:paraId="346F5FD7" w14:textId="77777777" w:rsidR="009E294F" w:rsidRDefault="009E294F" w:rsidP="009E294F">
      <w:pPr>
        <w:numPr>
          <w:ilvl w:val="0"/>
          <w:numId w:val="0"/>
        </w:numPr>
        <w:spacing w:before="0"/>
      </w:pPr>
    </w:p>
    <w:p w14:paraId="6FAD4D58" w14:textId="77777777" w:rsidR="00032965" w:rsidRDefault="009E294F" w:rsidP="009E294F">
      <w:pPr>
        <w:numPr>
          <w:ilvl w:val="0"/>
          <w:numId w:val="0"/>
        </w:numPr>
        <w:spacing w:before="0"/>
      </w:pPr>
      <w:r>
        <w:t>Measures set out in the NZAP that have the greatest potential to reduce</w:t>
      </w:r>
      <w:r w:rsidR="000B557F">
        <w:t xml:space="preserve"> building</w:t>
      </w:r>
      <w:r>
        <w:t xml:space="preserve"> emissions substantially include:</w:t>
      </w:r>
      <w:r w:rsidR="00AF3B34" w:rsidRPr="00AF3B34">
        <w:t xml:space="preserve"> </w:t>
      </w:r>
    </w:p>
    <w:p w14:paraId="66C277FF" w14:textId="34E612F0" w:rsidR="006D45D6" w:rsidRDefault="006D45D6" w:rsidP="006D45D6">
      <w:pPr>
        <w:pStyle w:val="ListSubbullet"/>
      </w:pPr>
      <w:r>
        <w:t>Support</w:t>
      </w:r>
      <w:r w:rsidR="006F513A">
        <w:t>ing</w:t>
      </w:r>
      <w:r>
        <w:t xml:space="preserve"> 700 households with energy efficiency and renewable energy measures through the Warm Homes Local Grant (BHP</w:t>
      </w:r>
      <w:r w:rsidR="006F513A">
        <w:t>9)</w:t>
      </w:r>
      <w:r w:rsidR="005869FD">
        <w:t>.</w:t>
      </w:r>
    </w:p>
    <w:p w14:paraId="4D8253DE" w14:textId="2EC77527" w:rsidR="006D45D6" w:rsidRDefault="006D45D6" w:rsidP="006D45D6">
      <w:pPr>
        <w:pStyle w:val="ListSubbullet"/>
      </w:pPr>
      <w:r>
        <w:t>Commenc</w:t>
      </w:r>
      <w:r w:rsidR="006F513A">
        <w:t>ing</w:t>
      </w:r>
      <w:r>
        <w:t xml:space="preserve"> the first phase of the £400 million heat network for Plymouth supported by the Government’s Advanced Zoning Programme</w:t>
      </w:r>
      <w:r w:rsidR="006F513A">
        <w:t xml:space="preserve"> (BHP10)</w:t>
      </w:r>
      <w:r w:rsidR="005869FD">
        <w:t>.</w:t>
      </w:r>
    </w:p>
    <w:p w14:paraId="35A8C637" w14:textId="77777777" w:rsidR="008A4324" w:rsidRPr="008A4324" w:rsidRDefault="008A4324" w:rsidP="008A4324">
      <w:pPr>
        <w:pStyle w:val="ListSubbullet"/>
        <w:numPr>
          <w:ilvl w:val="0"/>
          <w:numId w:val="0"/>
        </w:numPr>
        <w:ind w:left="644"/>
      </w:pPr>
    </w:p>
    <w:p w14:paraId="102E7295" w14:textId="554D35D6" w:rsidR="009E294F" w:rsidRPr="00C7330E" w:rsidRDefault="009E294F" w:rsidP="52E7B01D">
      <w:pPr>
        <w:pStyle w:val="Numberedpagesubheading"/>
        <w:numPr>
          <w:ilvl w:val="0"/>
          <w:numId w:val="0"/>
        </w:numPr>
        <w:rPr>
          <w:i/>
          <w:iCs/>
          <w:lang w:val="en-US"/>
        </w:rPr>
      </w:pPr>
      <w:r w:rsidRPr="52E7B01D">
        <w:rPr>
          <w:i/>
          <w:iCs/>
          <w:lang w:val="en-US"/>
        </w:rPr>
        <w:t xml:space="preserve">Behaviour </w:t>
      </w:r>
      <w:r w:rsidR="00FD7953">
        <w:rPr>
          <w:i/>
          <w:iCs/>
          <w:lang w:val="en-US"/>
        </w:rPr>
        <w:t>C</w:t>
      </w:r>
      <w:r w:rsidRPr="52E7B01D">
        <w:rPr>
          <w:i/>
          <w:iCs/>
          <w:lang w:val="en-US"/>
        </w:rPr>
        <w:t>hange</w:t>
      </w:r>
    </w:p>
    <w:p w14:paraId="60EE7892" w14:textId="77777777" w:rsidR="009E294F" w:rsidRPr="00C7330E" w:rsidRDefault="009E294F" w:rsidP="009E294F">
      <w:pPr>
        <w:pStyle w:val="Listnumbersleveltwo"/>
        <w:numPr>
          <w:ilvl w:val="1"/>
          <w:numId w:val="0"/>
        </w:numPr>
      </w:pPr>
      <w:r w:rsidRPr="00C7330E">
        <w:t xml:space="preserve">Activities to promote positive working practices to minimize emissions associated with our everyday activities. These actions will support reductions in the transport, energy, consumption, and waste sector. </w:t>
      </w:r>
    </w:p>
    <w:p w14:paraId="37946CF4" w14:textId="32D52708" w:rsidR="009E294F" w:rsidRPr="00C7330E" w:rsidRDefault="009E294F" w:rsidP="009E294F">
      <w:pPr>
        <w:numPr>
          <w:ilvl w:val="0"/>
          <w:numId w:val="0"/>
        </w:numPr>
      </w:pPr>
      <w:r w:rsidRPr="00C7330E">
        <w:t xml:space="preserve">According to the </w:t>
      </w:r>
      <w:hyperlink r:id="rId20">
        <w:r w:rsidRPr="00C7330E">
          <w:rPr>
            <w:rStyle w:val="Hyperlink"/>
          </w:rPr>
          <w:t>Sixth Carbon Budget</w:t>
        </w:r>
      </w:hyperlink>
      <w:r w:rsidRPr="00C7330E">
        <w:t xml:space="preserve">, while 41% of emission reduction required to achieve </w:t>
      </w:r>
      <w:r>
        <w:t>n</w:t>
      </w:r>
      <w:r w:rsidRPr="00C7330E">
        <w:t xml:space="preserve">et </w:t>
      </w:r>
      <w:r>
        <w:t>z</w:t>
      </w:r>
      <w:r w:rsidRPr="00C7330E">
        <w:t>ero will be</w:t>
      </w:r>
      <w:r w:rsidR="00BC7515">
        <w:t xml:space="preserve"> purely </w:t>
      </w:r>
      <w:r w:rsidRPr="00C7330E">
        <w:t>technological, the remaining 59% will include societal behavioural changes</w:t>
      </w:r>
      <w:r w:rsidRPr="00C7330E">
        <w:rPr>
          <w:rStyle w:val="FootnoteReference"/>
        </w:rPr>
        <w:footnoteReference w:id="6"/>
      </w:r>
      <w:r w:rsidRPr="00C7330E">
        <w:t>.</w:t>
      </w:r>
    </w:p>
    <w:p w14:paraId="5424A667" w14:textId="77777777" w:rsidR="009E294F" w:rsidRPr="00C7330E" w:rsidRDefault="009E294F" w:rsidP="009E294F">
      <w:pPr>
        <w:pStyle w:val="Listnumbersleveltwo"/>
        <w:numPr>
          <w:ilvl w:val="0"/>
          <w:numId w:val="0"/>
        </w:numPr>
      </w:pPr>
    </w:p>
    <w:p w14:paraId="1D10AE7D" w14:textId="77777777" w:rsidR="009E294F" w:rsidRPr="00C7330E" w:rsidRDefault="009E294F" w:rsidP="009E294F">
      <w:pPr>
        <w:pStyle w:val="Pagesubheading"/>
      </w:pPr>
      <w:r w:rsidRPr="00C7330E">
        <w:t>What are the wider benefits from the Council taking climate action?</w:t>
      </w:r>
    </w:p>
    <w:p w14:paraId="2402A88F" w14:textId="77777777" w:rsidR="009E294F" w:rsidRDefault="009E294F" w:rsidP="009E294F">
      <w:pPr>
        <w:numPr>
          <w:ilvl w:val="0"/>
          <w:numId w:val="0"/>
        </w:numPr>
      </w:pPr>
      <w:r w:rsidRPr="00C7330E">
        <w:t xml:space="preserve">Tackling climate change is compatible with delivering many of the City Council’s priorities, whilst also helping deliver savings through being more efficient in our operations and reducing our energy consumption. </w:t>
      </w:r>
    </w:p>
    <w:p w14:paraId="6EFB2155" w14:textId="4EECF85B" w:rsidR="00F00839" w:rsidRPr="00F00839" w:rsidRDefault="00F00839" w:rsidP="00F00839">
      <w:pPr>
        <w:numPr>
          <w:ilvl w:val="0"/>
          <w:numId w:val="0"/>
        </w:numPr>
      </w:pPr>
      <w:r w:rsidRPr="0088449C">
        <w:t xml:space="preserve">The investments have led to income generation from the sale of renewable energy and a reduction in the City Council’s energy bills, providing an ongoing an annual benefit </w:t>
      </w:r>
      <w:r w:rsidR="000346D4" w:rsidRPr="0088449C">
        <w:t xml:space="preserve">to the City Council </w:t>
      </w:r>
      <w:r w:rsidRPr="0088449C">
        <w:t>in the region of £500</w:t>
      </w:r>
      <w:r w:rsidR="002C0FD2" w:rsidRPr="0088449C">
        <w:t>,000</w:t>
      </w:r>
      <w:r w:rsidRPr="0088449C">
        <w:t>.</w:t>
      </w:r>
    </w:p>
    <w:p w14:paraId="150943CD" w14:textId="1A096DC2" w:rsidR="009E294F" w:rsidRPr="00C7330E" w:rsidRDefault="009E294F" w:rsidP="009E294F">
      <w:pPr>
        <w:numPr>
          <w:ilvl w:val="0"/>
          <w:numId w:val="0"/>
        </w:numPr>
      </w:pPr>
      <w:r w:rsidRPr="00C7330E">
        <w:t>Many of the activities detailed in this plan intend to bring about multiple co-benefits, so we do not have to make a choice between the climate and other critical issues</w:t>
      </w:r>
      <w:r w:rsidRPr="00C7330E">
        <w:rPr>
          <w:rFonts w:eastAsia="Gill Sans MT" w:cs="Gill Sans MT"/>
          <w:color w:val="485464"/>
        </w:rPr>
        <w:t xml:space="preserve"> </w:t>
      </w:r>
      <w:r w:rsidRPr="00C7330E">
        <w:t xml:space="preserve">such as economic inequality or health and wellbeing. For example, through climate action, we can improve air quality and create places that have a positive impact on our wellbeing. By promoting active travel, we can bring about some positive health benefits. The creation of green jobs provides opportunities for our city’s future prosperity. </w:t>
      </w:r>
      <w:r w:rsidR="00C0449A" w:rsidRPr="00C0449A">
        <w:t>A</w:t>
      </w:r>
      <w:r w:rsidRPr="00C0449A">
        <w:t>c</w:t>
      </w:r>
      <w:r w:rsidRPr="00C7330E">
        <w:t xml:space="preserve">tions to cut down our energy consumption and adopt renewable energy produced locally will help bring down the cost of keeping our homes warm. </w:t>
      </w:r>
    </w:p>
    <w:p w14:paraId="1F7ADEC0" w14:textId="77777777" w:rsidR="009E294F" w:rsidRPr="00C7330E" w:rsidRDefault="009E294F" w:rsidP="009E294F">
      <w:pPr>
        <w:numPr>
          <w:ilvl w:val="0"/>
          <w:numId w:val="0"/>
        </w:numPr>
        <w:spacing w:before="0"/>
        <w:textAlignment w:val="baseline"/>
        <w:rPr>
          <w:b/>
          <w:bCs/>
        </w:rPr>
      </w:pPr>
    </w:p>
    <w:p w14:paraId="47C025F8" w14:textId="77777777" w:rsidR="009E294F" w:rsidRPr="00C7330E" w:rsidRDefault="009E294F" w:rsidP="009E294F">
      <w:pPr>
        <w:pStyle w:val="Pagesubheading"/>
      </w:pPr>
      <w:r w:rsidRPr="00C7330E">
        <w:lastRenderedPageBreak/>
        <w:t>What other initiatives and programmes will the NZAP complement? </w:t>
      </w:r>
    </w:p>
    <w:p w14:paraId="317D7A1B" w14:textId="0B78F2AA" w:rsidR="009E294F" w:rsidRDefault="009E294F" w:rsidP="009E294F">
      <w:pPr>
        <w:pStyle w:val="Pagesubheading"/>
        <w:rPr>
          <w:b w:val="0"/>
          <w:bCs w:val="0"/>
          <w:kern w:val="0"/>
          <w:szCs w:val="24"/>
        </w:rPr>
      </w:pPr>
      <w:r w:rsidRPr="00C7330E">
        <w:rPr>
          <w:b w:val="0"/>
          <w:bCs w:val="0"/>
          <w:kern w:val="0"/>
          <w:szCs w:val="24"/>
        </w:rPr>
        <w:t xml:space="preserve">The focus of </w:t>
      </w:r>
      <w:r w:rsidR="0082697C">
        <w:rPr>
          <w:b w:val="0"/>
          <w:bCs w:val="0"/>
          <w:kern w:val="0"/>
          <w:szCs w:val="24"/>
        </w:rPr>
        <w:t xml:space="preserve">the </w:t>
      </w:r>
      <w:r w:rsidRPr="00C7330E">
        <w:rPr>
          <w:b w:val="0"/>
          <w:bCs w:val="0"/>
          <w:kern w:val="0"/>
          <w:szCs w:val="24"/>
        </w:rPr>
        <w:t>NZAP is on how the Council will reduce carbon emissions.  However, the Council is also committed to other initiatives and programmes to deal with the consequences of climate change and to improve health, wellbeing and environmental quality of the city overall. Some examples are given below: </w:t>
      </w:r>
    </w:p>
    <w:p w14:paraId="4CB5A30C" w14:textId="519D170C" w:rsidR="00A85ECA" w:rsidRPr="00C0449A" w:rsidRDefault="00A85ECA" w:rsidP="005A12E4">
      <w:pPr>
        <w:pStyle w:val="ListBullet"/>
      </w:pPr>
      <w:r w:rsidRPr="00C0449A">
        <w:t xml:space="preserve">The Net Zero Action Plan is the </w:t>
      </w:r>
      <w:r w:rsidR="002A5561" w:rsidRPr="00C0449A">
        <w:t>council</w:t>
      </w:r>
      <w:r w:rsidRPr="00C0449A">
        <w:t xml:space="preserve">’s contribution to the </w:t>
      </w:r>
      <w:r w:rsidR="005A12E4" w:rsidRPr="00C0449A">
        <w:t xml:space="preserve">efforts of the </w:t>
      </w:r>
      <w:hyperlink r:id="rId21" w:history="1">
        <w:r w:rsidR="002A5561" w:rsidRPr="008A76EC">
          <w:rPr>
            <w:rStyle w:val="Hyperlink"/>
          </w:rPr>
          <w:t>Plymouth Net Zero Partnership</w:t>
        </w:r>
      </w:hyperlink>
      <w:r w:rsidR="005A12E4" w:rsidRPr="00C0449A">
        <w:t xml:space="preserve">. It complements the initiatives promoted on the </w:t>
      </w:r>
      <w:hyperlink r:id="rId22" w:history="1">
        <w:r w:rsidR="005A12E4" w:rsidRPr="008A76EC">
          <w:rPr>
            <w:rStyle w:val="Hyperlink"/>
          </w:rPr>
          <w:t>Climate Connections</w:t>
        </w:r>
      </w:hyperlink>
      <w:r w:rsidR="005A12E4" w:rsidRPr="00C0449A">
        <w:t xml:space="preserve"> website</w:t>
      </w:r>
      <w:r w:rsidR="00A12781" w:rsidRPr="00C0449A">
        <w:t>.</w:t>
      </w:r>
    </w:p>
    <w:p w14:paraId="35C21D93" w14:textId="518A5412" w:rsidR="009E294F" w:rsidRPr="000A19B9" w:rsidRDefault="009E294F" w:rsidP="009E294F">
      <w:pPr>
        <w:pStyle w:val="ListBullet"/>
      </w:pPr>
      <w:r w:rsidRPr="2564C82B">
        <w:rPr>
          <w:lang w:val="en-US"/>
        </w:rPr>
        <w:t xml:space="preserve">Through our </w:t>
      </w:r>
      <w:hyperlink r:id="rId23">
        <w:r w:rsidR="00354E70">
          <w:rPr>
            <w:color w:val="008000"/>
            <w:u w:val="single"/>
            <w:lang w:val="en-US"/>
          </w:rPr>
          <w:t>Climate Emergency Planning Statement</w:t>
        </w:r>
      </w:hyperlink>
      <w:r w:rsidRPr="2564C82B">
        <w:rPr>
          <w:lang w:val="en-US"/>
        </w:rPr>
        <w:t>, all new developments must consider the impacts of climate change, and include measures such as delivering at least 10 per cent biodiversity net gain, sustainable drainage, and soil protection. </w:t>
      </w:r>
    </w:p>
    <w:p w14:paraId="5D56BD47" w14:textId="0FAC4810" w:rsidR="000A19B9" w:rsidRPr="003E5167" w:rsidRDefault="000A19B9" w:rsidP="003E5167">
      <w:pPr>
        <w:pStyle w:val="ListBullet"/>
        <w:rPr>
          <w:lang w:val="en-GB"/>
        </w:rPr>
      </w:pPr>
      <w:r>
        <w:rPr>
          <w:lang w:val="en-US"/>
        </w:rPr>
        <w:t>Throug</w:t>
      </w:r>
      <w:r w:rsidR="00B65C4F">
        <w:rPr>
          <w:lang w:val="en-US"/>
        </w:rPr>
        <w:t xml:space="preserve">h the </w:t>
      </w:r>
      <w:hyperlink r:id="rId24" w:history="1">
        <w:r w:rsidR="00696036" w:rsidRPr="0012342F">
          <w:rPr>
            <w:rStyle w:val="Hyperlink"/>
            <w:lang w:val="en-US"/>
          </w:rPr>
          <w:t>Local Cycling and Walking Infrastructure Plan</w:t>
        </w:r>
      </w:hyperlink>
      <w:r w:rsidR="00696036">
        <w:rPr>
          <w:lang w:val="en-US"/>
        </w:rPr>
        <w:t xml:space="preserve">, </w:t>
      </w:r>
      <w:r w:rsidR="003E5167" w:rsidRPr="003E5167">
        <w:rPr>
          <w:lang w:val="en-GB"/>
        </w:rPr>
        <w:t>and supporting programmes,</w:t>
      </w:r>
      <w:r w:rsidR="003E5167">
        <w:rPr>
          <w:lang w:val="en-GB"/>
        </w:rPr>
        <w:t xml:space="preserve"> </w:t>
      </w:r>
      <w:r w:rsidR="00696036" w:rsidRPr="003E5167">
        <w:rPr>
          <w:lang w:val="en-US"/>
        </w:rPr>
        <w:t xml:space="preserve">we </w:t>
      </w:r>
      <w:r w:rsidR="00BC5F12" w:rsidRPr="003E5167">
        <w:rPr>
          <w:lang w:val="en-US"/>
        </w:rPr>
        <w:t>identify cycling and walking impr</w:t>
      </w:r>
      <w:r w:rsidR="008130AE" w:rsidRPr="003E5167">
        <w:rPr>
          <w:lang w:val="en-US"/>
        </w:rPr>
        <w:t>o</w:t>
      </w:r>
      <w:r w:rsidR="00BC5F12" w:rsidRPr="003E5167">
        <w:rPr>
          <w:lang w:val="en-US"/>
        </w:rPr>
        <w:t xml:space="preserve">vements </w:t>
      </w:r>
      <w:r w:rsidR="008130AE" w:rsidRPr="003E5167">
        <w:rPr>
          <w:lang w:val="en-US"/>
        </w:rPr>
        <w:t xml:space="preserve">needed to increase levels of active travel. </w:t>
      </w:r>
    </w:p>
    <w:p w14:paraId="72F559FB" w14:textId="4F9D7062" w:rsidR="009E294F" w:rsidRPr="00C7330E" w:rsidRDefault="009E294F" w:rsidP="009E294F">
      <w:pPr>
        <w:pStyle w:val="ListBullet"/>
      </w:pPr>
      <w:r w:rsidRPr="00C7330E">
        <w:t xml:space="preserve">Through our </w:t>
      </w:r>
      <w:hyperlink r:id="rId25" w:tgtFrame="_blank" w:history="1">
        <w:r w:rsidR="0012342F">
          <w:rPr>
            <w:color w:val="008000"/>
            <w:u w:val="single"/>
          </w:rPr>
          <w:t>City Change Fund</w:t>
        </w:r>
      </w:hyperlink>
      <w:r w:rsidRPr="00C7330E">
        <w:t>, we support local projects that help tackle climate change and deliver a city that is more resilient to its effects. </w:t>
      </w:r>
    </w:p>
    <w:p w14:paraId="4989DA42" w14:textId="11CCB913" w:rsidR="009E294F" w:rsidRPr="00C7330E" w:rsidRDefault="009E294F" w:rsidP="009E294F">
      <w:pPr>
        <w:pStyle w:val="ListBullet"/>
      </w:pPr>
      <w:r w:rsidRPr="2564C82B">
        <w:rPr>
          <w:lang w:val="en-US"/>
        </w:rPr>
        <w:t xml:space="preserve">Through </w:t>
      </w:r>
      <w:hyperlink r:id="rId26">
        <w:r w:rsidR="0012342F">
          <w:rPr>
            <w:color w:val="008000"/>
            <w:u w:val="single"/>
            <w:lang w:val="en-US"/>
          </w:rPr>
          <w:t>Thrive Plymouth</w:t>
        </w:r>
      </w:hyperlink>
      <w:r w:rsidRPr="2564C82B">
        <w:rPr>
          <w:lang w:val="en-US"/>
        </w:rPr>
        <w:t>, we work to improve health and wellbeing and reduce health inequalities, including promoting healthy lifestyles.</w:t>
      </w:r>
      <w:r w:rsidR="003731B2">
        <w:rPr>
          <w:lang w:val="en-US"/>
        </w:rPr>
        <w:t xml:space="preserve"> </w:t>
      </w:r>
      <w:r w:rsidRPr="2564C82B">
        <w:rPr>
          <w:lang w:val="en-US"/>
        </w:rPr>
        <w:t>Associated</w:t>
      </w:r>
      <w:r w:rsidR="008A76EC">
        <w:rPr>
          <w:lang w:val="en-US"/>
        </w:rPr>
        <w:t xml:space="preserve"> b</w:t>
      </w:r>
      <w:r w:rsidRPr="2564C82B">
        <w:rPr>
          <w:lang w:val="en-US"/>
        </w:rPr>
        <w:t>ehaviour</w:t>
      </w:r>
      <w:r w:rsidR="008A76EC">
        <w:rPr>
          <w:lang w:val="en-US"/>
        </w:rPr>
        <w:t>al</w:t>
      </w:r>
      <w:r w:rsidRPr="2564C82B">
        <w:rPr>
          <w:lang w:val="en-US"/>
        </w:rPr>
        <w:t xml:space="preserve"> changes not only complement the NZAP’s aim to reduce emissions (for example, through encouraging active travel such as walking and cycling), but also create a more resilient population to anticipate impacts of climate change. </w:t>
      </w:r>
    </w:p>
    <w:p w14:paraId="4886FB5B" w14:textId="351DB45F" w:rsidR="009E294F" w:rsidRPr="00044D73" w:rsidRDefault="009E294F" w:rsidP="009E294F">
      <w:pPr>
        <w:pStyle w:val="ListBullet"/>
      </w:pPr>
      <w:r w:rsidRPr="2564C82B">
        <w:rPr>
          <w:rFonts w:cs="Calibri"/>
          <w:color w:val="000000"/>
          <w:shd w:val="clear" w:color="auto" w:fill="FFFFFF"/>
          <w:lang w:val="en-US"/>
        </w:rPr>
        <w:t xml:space="preserve">Through our </w:t>
      </w:r>
      <w:hyperlink r:id="rId27" w:tgtFrame="_blank" w:history="1">
        <w:r w:rsidR="00655D3D">
          <w:rPr>
            <w:rStyle w:val="Hyperlink"/>
            <w:rFonts w:cs="Calibri"/>
            <w:bdr w:val="none" w:sz="0" w:space="0" w:color="auto" w:frame="1"/>
            <w:shd w:val="clear" w:color="auto" w:fill="FFFFFF"/>
            <w:lang w:val="en-US"/>
          </w:rPr>
          <w:t>Cost of Living Taskforce</w:t>
        </w:r>
      </w:hyperlink>
      <w:r w:rsidR="00354E70">
        <w:rPr>
          <w:rFonts w:cs="Calibri"/>
          <w:color w:val="000000"/>
          <w:shd w:val="clear" w:color="auto" w:fill="FFFFFF"/>
          <w:lang w:val="en-US"/>
        </w:rPr>
        <w:t>,</w:t>
      </w:r>
      <w:r w:rsidR="00655D3D">
        <w:rPr>
          <w:rFonts w:cs="Calibri"/>
          <w:color w:val="000000"/>
          <w:shd w:val="clear" w:color="auto" w:fill="FFFFFF"/>
          <w:lang w:val="en-US"/>
        </w:rPr>
        <w:t xml:space="preserve"> </w:t>
      </w:r>
      <w:r w:rsidRPr="2564C82B">
        <w:rPr>
          <w:rFonts w:cs="Calibri"/>
          <w:color w:val="000000"/>
          <w:shd w:val="clear" w:color="auto" w:fill="FFFFFF"/>
          <w:lang w:val="en-US"/>
        </w:rPr>
        <w:t>we are working with partners across the city to support families and individuals to access support in making their homes more energy efficient, in reducing their use of energy, and in helping to manage finances when they struggling to pay gas and electricity bills.</w:t>
      </w:r>
    </w:p>
    <w:p w14:paraId="7D65A2AE" w14:textId="5F1DCF94" w:rsidR="009E294F" w:rsidRPr="00A96AB3" w:rsidRDefault="009E294F" w:rsidP="009E294F">
      <w:pPr>
        <w:pStyle w:val="ListBullet"/>
      </w:pPr>
      <w:r w:rsidRPr="2564C82B">
        <w:rPr>
          <w:lang w:val="en-US"/>
        </w:rPr>
        <w:t xml:space="preserve">The </w:t>
      </w:r>
      <w:hyperlink r:id="rId28">
        <w:r w:rsidRPr="2564C82B">
          <w:rPr>
            <w:rStyle w:val="Hyperlink"/>
            <w:lang w:val="en-US"/>
          </w:rPr>
          <w:t>Plymouth Sound National Marine Park</w:t>
        </w:r>
      </w:hyperlink>
      <w:r w:rsidRPr="2564C82B">
        <w:rPr>
          <w:lang w:val="en-US"/>
        </w:rPr>
        <w:t xml:space="preserve"> will encourage greater prosperity and engagement with our marine environment. Building on our current work and existing structures, it will support a new approach to how we value and work in harmony with the natural environment to deliver the greatest benefit for all. Our vision is for a National Marine Park that supports thriving businesses, connected communities and inspired visitors.</w:t>
      </w:r>
    </w:p>
    <w:p w14:paraId="3F1ED822" w14:textId="2949E313" w:rsidR="009E294F" w:rsidRPr="00044D73" w:rsidRDefault="009E294F" w:rsidP="009E294F">
      <w:pPr>
        <w:pStyle w:val="ListBullet"/>
      </w:pPr>
      <w:r w:rsidRPr="00044D73">
        <w:rPr>
          <w:rFonts w:cs="Calibri"/>
          <w:color w:val="000000"/>
          <w:shd w:val="clear" w:color="auto" w:fill="FFFFFF"/>
        </w:rPr>
        <w:t xml:space="preserve">The </w:t>
      </w:r>
      <w:hyperlink r:id="rId29" w:history="1">
        <w:r w:rsidRPr="00044D73">
          <w:rPr>
            <w:rStyle w:val="Hyperlink"/>
            <w:rFonts w:cs="Calibri"/>
          </w:rPr>
          <w:t>Plymouth and South Devon Community Forest</w:t>
        </w:r>
      </w:hyperlink>
      <w:r w:rsidRPr="00044D73">
        <w:rPr>
          <w:rFonts w:cs="Calibri"/>
          <w:color w:val="000000"/>
          <w:shd w:val="clear" w:color="auto" w:fill="FFFFFF"/>
        </w:rPr>
        <w:t xml:space="preserve"> is an ambitious project that will see hundreds of new trees planted across the city</w:t>
      </w:r>
      <w:r>
        <w:rPr>
          <w:rFonts w:cs="Calibri"/>
          <w:color w:val="000000"/>
          <w:shd w:val="clear" w:color="auto" w:fill="FFFFFF"/>
        </w:rPr>
        <w:t>.</w:t>
      </w:r>
    </w:p>
    <w:p w14:paraId="1D5671FC" w14:textId="4946C3B7" w:rsidR="009E294F" w:rsidRPr="006A4A6B" w:rsidRDefault="009E294F" w:rsidP="009E294F">
      <w:pPr>
        <w:pStyle w:val="ListBullet"/>
      </w:pPr>
      <w:r w:rsidRPr="06D104E6">
        <w:rPr>
          <w:rFonts w:cs="Calibri"/>
          <w:color w:val="000000" w:themeColor="text1"/>
        </w:rPr>
        <w:t xml:space="preserve">The </w:t>
      </w:r>
      <w:hyperlink r:id="rId30" w:history="1">
        <w:r w:rsidR="006A4A6B" w:rsidRPr="008E6177">
          <w:rPr>
            <w:rStyle w:val="Hyperlink"/>
            <w:rFonts w:cs="Calibri"/>
          </w:rPr>
          <w:t>Plymouth and South Devon Freeport</w:t>
        </w:r>
      </w:hyperlink>
      <w:r w:rsidR="006A4A6B">
        <w:rPr>
          <w:rFonts w:cs="Calibri"/>
        </w:rPr>
        <w:t xml:space="preserve"> i</w:t>
      </w:r>
      <w:r w:rsidR="00FD6D81">
        <w:rPr>
          <w:color w:val="000000"/>
          <w:bdr w:val="none" w:sz="0" w:space="0" w:color="auto" w:frame="1"/>
          <w:shd w:val="clear" w:color="auto" w:fill="FFFFFF"/>
        </w:rPr>
        <w:t>s</w:t>
      </w:r>
      <w:r>
        <w:rPr>
          <w:color w:val="000000"/>
          <w:bdr w:val="none" w:sz="0" w:space="0" w:color="auto" w:frame="1"/>
          <w:shd w:val="clear" w:color="auto" w:fill="FFFFFF"/>
        </w:rPr>
        <w:t xml:space="preserve"> collaborating with partners to deliver Net Zero emissions target significantly ahead of 2050. It will monitor emissions and actively drive </w:t>
      </w:r>
      <w:r w:rsidR="002D2D04">
        <w:rPr>
          <w:color w:val="000000"/>
          <w:bdr w:val="none" w:sz="0" w:space="0" w:color="auto" w:frame="1"/>
          <w:shd w:val="clear" w:color="auto" w:fill="FFFFFF"/>
        </w:rPr>
        <w:t>Decarbonisation</w:t>
      </w:r>
      <w:r>
        <w:rPr>
          <w:color w:val="000000"/>
          <w:bdr w:val="none" w:sz="0" w:space="0" w:color="auto" w:frame="1"/>
          <w:shd w:val="clear" w:color="auto" w:fill="FFFFFF"/>
        </w:rPr>
        <w:t xml:space="preserve"> with Freeport landlords and tenants. The Freeport designation and seed capital function as a catalyst in the delivery of a 10MW Green Hydrogen Electrolyser at Langage, a Pedestrian and Cycle Bridge across A38 connecting the 2 tax sites at Langage and Sherford and the Innovation Centre in South Yard. The significant opportunities in Net Zero Innovations with partners and business are key to achieving Net Zero and positioning Plymouth in growth sectors, like the supply and maintenance of Floating Offshore Wind in the Celtic Sea.</w:t>
      </w:r>
    </w:p>
    <w:p w14:paraId="185F9E07" w14:textId="655C5A4F" w:rsidR="009E294F" w:rsidRPr="00C7330E" w:rsidRDefault="009E294F" w:rsidP="009E294F">
      <w:pPr>
        <w:pStyle w:val="ListBullet"/>
      </w:pPr>
      <w:r w:rsidRPr="2564C82B">
        <w:rPr>
          <w:lang w:val="en-US"/>
        </w:rPr>
        <w:t>Working in partnership with the Devon, Cornwall and Isles of Scilly Local Resilience Forum, helping de</w:t>
      </w:r>
      <w:r w:rsidR="00FB102F">
        <w:rPr>
          <w:lang w:val="en-US"/>
        </w:rPr>
        <w:t>liver</w:t>
      </w:r>
      <w:r w:rsidRPr="2564C82B">
        <w:rPr>
          <w:lang w:val="en-US"/>
        </w:rPr>
        <w:t xml:space="preserve"> the Devon, Cornwall and Isles of Scilly Adaptation Plan </w:t>
      </w:r>
      <w:hyperlink r:id="rId31" w:history="1">
        <w:r w:rsidRPr="00D13F33">
          <w:rPr>
            <w:rStyle w:val="Hyperlink"/>
            <w:lang w:val="en-US"/>
          </w:rPr>
          <w:t>Adaptation Plan – Devon Climate Emergency</w:t>
        </w:r>
      </w:hyperlink>
      <w:r w:rsidRPr="2564C82B">
        <w:rPr>
          <w:lang w:val="en-US"/>
        </w:rPr>
        <w:t xml:space="preserve"> addressing the impacts of climate change.  We will also collaborate with local partners on a more detailed City Adaptation Plan and Climate Change risk assessment to help the Council prepare for and manage the impacts of climate change on the services it provides and on city’s wildlife and natural environment. </w:t>
      </w:r>
    </w:p>
    <w:p w14:paraId="273E1EFA" w14:textId="77777777" w:rsidR="009E294F" w:rsidRDefault="009E294F" w:rsidP="009E294F">
      <w:pPr>
        <w:pStyle w:val="ListBullet"/>
        <w:numPr>
          <w:ilvl w:val="0"/>
          <w:numId w:val="0"/>
        </w:numPr>
      </w:pPr>
      <w:r w:rsidRPr="52E7B01D">
        <w:rPr>
          <w:lang w:val="en-US"/>
        </w:rPr>
        <w:t>This connectivity between wider plans and the Council’s delivery programmes and plans for responding to the climate emergency is shown diagrammatically below.</w:t>
      </w:r>
    </w:p>
    <w:p w14:paraId="15372BA6" w14:textId="77777777" w:rsidR="009E294F" w:rsidRPr="00DC60A9" w:rsidRDefault="009E294F" w:rsidP="009E294F">
      <w:pPr>
        <w:pStyle w:val="ListBullet"/>
        <w:numPr>
          <w:ilvl w:val="0"/>
          <w:numId w:val="0"/>
        </w:numPr>
        <w:rPr>
          <w:sz w:val="2"/>
          <w:szCs w:val="2"/>
        </w:rPr>
      </w:pPr>
    </w:p>
    <w:p w14:paraId="00923615" w14:textId="77777777" w:rsidR="009E294F" w:rsidRDefault="009E294F" w:rsidP="009E294F">
      <w:pPr>
        <w:pStyle w:val="ListBullet"/>
        <w:numPr>
          <w:ilvl w:val="0"/>
          <w:numId w:val="0"/>
        </w:numPr>
        <w:jc w:val="center"/>
        <w:rPr>
          <w:i/>
          <w:sz w:val="20"/>
          <w:szCs w:val="20"/>
        </w:rPr>
      </w:pPr>
      <w:r>
        <w:rPr>
          <w:noProof/>
        </w:rPr>
        <w:lastRenderedPageBreak/>
        <w:drawing>
          <wp:inline distT="0" distB="0" distL="0" distR="0" wp14:anchorId="4B5A237B" wp14:editId="41C3937A">
            <wp:extent cx="6056446" cy="2950234"/>
            <wp:effectExtent l="0" t="0" r="0" b="0"/>
            <wp:docPr id="378628014" name="Picture 1" descr="A diagram of a climate emer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28014" name="Picture 1" descr="A diagram of a climate emergency&#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76510" cy="3008720"/>
                    </a:xfrm>
                    <a:prstGeom prst="rect">
                      <a:avLst/>
                    </a:prstGeom>
                  </pic:spPr>
                </pic:pic>
              </a:graphicData>
            </a:graphic>
          </wp:inline>
        </w:drawing>
      </w:r>
    </w:p>
    <w:p w14:paraId="04316EA4" w14:textId="77777777" w:rsidR="009E294F" w:rsidRPr="00DC60A9" w:rsidRDefault="009E294F" w:rsidP="009E294F">
      <w:pPr>
        <w:pStyle w:val="ListBullet"/>
        <w:numPr>
          <w:ilvl w:val="0"/>
          <w:numId w:val="0"/>
        </w:numPr>
        <w:rPr>
          <w:b/>
          <w:i/>
          <w:sz w:val="20"/>
          <w:szCs w:val="20"/>
        </w:rPr>
      </w:pPr>
      <w:r>
        <w:rPr>
          <w:i/>
          <w:sz w:val="20"/>
          <w:szCs w:val="20"/>
        </w:rPr>
        <w:t>The diagram is i</w:t>
      </w:r>
      <w:r w:rsidRPr="00E42633">
        <w:rPr>
          <w:i/>
          <w:sz w:val="20"/>
          <w:szCs w:val="20"/>
        </w:rPr>
        <w:t>llustrative only</w:t>
      </w:r>
      <w:r>
        <w:rPr>
          <w:i/>
          <w:sz w:val="20"/>
          <w:szCs w:val="20"/>
        </w:rPr>
        <w:t xml:space="preserve"> and is not intended to be comprehensive.</w:t>
      </w:r>
    </w:p>
    <w:p w14:paraId="04EF143A" w14:textId="77777777" w:rsidR="009E294F" w:rsidRDefault="009E294F" w:rsidP="009E294F">
      <w:pPr>
        <w:pStyle w:val="Pagesubheading"/>
      </w:pPr>
    </w:p>
    <w:p w14:paraId="776E4718" w14:textId="1D5FF2B7" w:rsidR="009E294F" w:rsidRPr="00C7330E" w:rsidRDefault="009E294F" w:rsidP="009E294F">
      <w:pPr>
        <w:pStyle w:val="Pagesubheading"/>
      </w:pPr>
      <w:r w:rsidRPr="00C7330E">
        <w:t>How will we ensure that climate action is fair and leaves no one behind?</w:t>
      </w:r>
    </w:p>
    <w:p w14:paraId="5CAA4DEC" w14:textId="77777777" w:rsidR="009E294F" w:rsidRPr="00C7330E" w:rsidRDefault="009E294F" w:rsidP="009E294F">
      <w:pPr>
        <w:numPr>
          <w:ilvl w:val="0"/>
          <w:numId w:val="0"/>
        </w:numPr>
        <w:spacing w:line="259" w:lineRule="auto"/>
        <w:rPr>
          <w:rFonts w:eastAsia="Gill Sans MT" w:cs="Gill Sans MT"/>
          <w:color w:val="141414"/>
        </w:rPr>
      </w:pPr>
      <w:r w:rsidRPr="00C7330E">
        <w:rPr>
          <w:rFonts w:eastAsia="Gill Sans MT" w:cs="Gill Sans MT"/>
          <w:color w:val="141414"/>
        </w:rPr>
        <w:t xml:space="preserve">Taking climate action by reducing emissions to zero as rapidly as possible and putting in place plans to mitigate the worst impacts of climate change is the best way to bring about positive outcomes for all, including current and future generations, irrespective of </w:t>
      </w:r>
      <w:r>
        <w:rPr>
          <w:rFonts w:eastAsia="Gill Sans MT" w:cs="Gill Sans MT"/>
          <w:color w:val="141414"/>
        </w:rPr>
        <w:t xml:space="preserve">age, </w:t>
      </w:r>
      <w:r w:rsidRPr="00C7330E">
        <w:rPr>
          <w:rFonts w:eastAsia="Gill Sans MT" w:cs="Gill Sans MT"/>
          <w:color w:val="141414"/>
        </w:rPr>
        <w:t>race, disability, gender, sexual orientation or religion.</w:t>
      </w:r>
    </w:p>
    <w:p w14:paraId="0C7C4E66" w14:textId="77777777" w:rsidR="009E294F" w:rsidRPr="00C7330E" w:rsidRDefault="009E294F" w:rsidP="009E294F">
      <w:pPr>
        <w:numPr>
          <w:ilvl w:val="0"/>
          <w:numId w:val="0"/>
        </w:numPr>
        <w:spacing w:line="259" w:lineRule="auto"/>
        <w:rPr>
          <w:rFonts w:eastAsia="Gill Sans MT" w:cs="Gill Sans MT"/>
          <w:color w:val="141414"/>
        </w:rPr>
      </w:pPr>
      <w:r w:rsidRPr="00C7330E">
        <w:t xml:space="preserve">We need commitment from everyone, but we understand that we are not all equally able to act. </w:t>
      </w:r>
      <w:r w:rsidRPr="00C7330E">
        <w:rPr>
          <w:rFonts w:eastAsia="Gill Sans MT" w:cs="Gill Sans MT"/>
          <w:color w:val="141414"/>
        </w:rPr>
        <w:t xml:space="preserve">Our role is also to ensure, whenever we can, that our city’s transition to net zero is just and leaves no one behind. </w:t>
      </w:r>
    </w:p>
    <w:p w14:paraId="17D8559B" w14:textId="77777777" w:rsidR="009E294F" w:rsidRPr="00C7330E" w:rsidRDefault="009E294F" w:rsidP="009E294F">
      <w:pPr>
        <w:numPr>
          <w:ilvl w:val="0"/>
          <w:numId w:val="0"/>
        </w:numPr>
      </w:pPr>
      <w:r w:rsidRPr="00C7330E">
        <w:rPr>
          <w:rFonts w:eastAsia="Gill Sans MT" w:cs="Gill Sans MT"/>
          <w:color w:val="141414"/>
        </w:rPr>
        <w:t xml:space="preserve">To do so, we will appeal to government to ensure that the necessary resources are distributed to allow all people to make the transition to a more sustainable way of life. For example, we will continue to seek </w:t>
      </w:r>
      <w:r>
        <w:rPr>
          <w:rFonts w:eastAsia="Gill Sans MT" w:cs="Gill Sans MT"/>
          <w:color w:val="141414"/>
        </w:rPr>
        <w:t>g</w:t>
      </w:r>
      <w:r w:rsidRPr="00C7330E">
        <w:rPr>
          <w:rFonts w:eastAsia="Gill Sans MT" w:cs="Gill Sans MT"/>
          <w:color w:val="141414"/>
        </w:rPr>
        <w:t xml:space="preserve">overnment grants for home energy efficiency that can be redistributed to those most in need. We will be promoting green skills, training and jobs, to ensure there are good employment opportunities for all. We will continue to support transport solutions to widen access to mobility, </w:t>
      </w:r>
      <w:r w:rsidRPr="00C7330E">
        <w:t>mindful of the needs of vulnerable groups.</w:t>
      </w:r>
    </w:p>
    <w:p w14:paraId="6158D7C6" w14:textId="77777777" w:rsidR="009E294F" w:rsidRPr="00C7330E" w:rsidRDefault="009E294F" w:rsidP="009E294F">
      <w:pPr>
        <w:numPr>
          <w:ilvl w:val="0"/>
          <w:numId w:val="0"/>
        </w:numPr>
        <w:spacing w:line="259" w:lineRule="auto"/>
      </w:pPr>
      <w:r w:rsidRPr="00C7330E">
        <w:t xml:space="preserve">Our engagement activities will follow the principles set out in paragraph 2.1 of the City Council’s </w:t>
      </w:r>
      <w:hyperlink r:id="rId33" w:history="1">
        <w:r w:rsidRPr="00C7330E">
          <w:rPr>
            <w:rStyle w:val="Hyperlink"/>
          </w:rPr>
          <w:t>Statement of Community Involvement,</w:t>
        </w:r>
      </w:hyperlink>
      <w:r w:rsidRPr="00C7330E">
        <w:t xml:space="preserve"> and will promote equality and diversity. </w:t>
      </w:r>
    </w:p>
    <w:p w14:paraId="285AB72D" w14:textId="77777777" w:rsidR="009E294F" w:rsidRDefault="009E294F" w:rsidP="009E294F">
      <w:pPr>
        <w:numPr>
          <w:ilvl w:val="0"/>
          <w:numId w:val="0"/>
        </w:numPr>
        <w:spacing w:line="259" w:lineRule="auto"/>
        <w:rPr>
          <w:rFonts w:eastAsia="Gill Sans MT" w:cs="Gill Sans MT"/>
        </w:rPr>
      </w:pPr>
      <w:r w:rsidRPr="00C7330E">
        <w:rPr>
          <w:rFonts w:eastAsia="Gill Sans MT" w:cs="Gill Sans MT"/>
        </w:rPr>
        <w:t>In the delivery of all our actions, we will comply with the requirements of the Equality Act 2010.</w:t>
      </w:r>
    </w:p>
    <w:p w14:paraId="6A56EA41" w14:textId="77777777" w:rsidR="009E294F" w:rsidRPr="00C7330E" w:rsidRDefault="009E294F" w:rsidP="009E294F">
      <w:pPr>
        <w:numPr>
          <w:ilvl w:val="0"/>
          <w:numId w:val="0"/>
        </w:numPr>
        <w:spacing w:line="259" w:lineRule="auto"/>
        <w:rPr>
          <w:rFonts w:eastAsia="Gill Sans MT" w:cs="Gill Sans MT"/>
        </w:rPr>
      </w:pPr>
    </w:p>
    <w:p w14:paraId="3B31F092" w14:textId="77777777" w:rsidR="009E294F" w:rsidRPr="00C7330E" w:rsidRDefault="009E294F" w:rsidP="009E294F">
      <w:pPr>
        <w:pStyle w:val="Pagesubheading"/>
      </w:pPr>
      <w:r w:rsidRPr="00C7330E">
        <w:t>How will we deliver the NZAP?</w:t>
      </w:r>
    </w:p>
    <w:p w14:paraId="05E6E5DD" w14:textId="77777777" w:rsidR="009E294F" w:rsidRPr="00C7330E" w:rsidRDefault="009E294F" w:rsidP="009E294F">
      <w:pPr>
        <w:numPr>
          <w:ilvl w:val="0"/>
          <w:numId w:val="0"/>
        </w:numPr>
        <w:rPr>
          <w:rFonts w:eastAsia="Gill Sans MT"/>
        </w:rPr>
      </w:pPr>
      <w:r w:rsidRPr="00C7330E">
        <w:rPr>
          <w:rFonts w:eastAsia="Gill Sans MT"/>
        </w:rPr>
        <w:t>As a three-year delivery plan, not every measure identified in the NZAP is fully funded from day one. Some of the measures proposed are fully or partially funded; for example, because they can be delivered with existing staff resources or have grants or other funding already in place.</w:t>
      </w:r>
      <w:r>
        <w:rPr>
          <w:rFonts w:eastAsia="Gill Sans MT"/>
        </w:rPr>
        <w:t xml:space="preserve"> </w:t>
      </w:r>
      <w:r w:rsidRPr="00C7330E">
        <w:rPr>
          <w:rFonts w:eastAsia="Gill Sans MT"/>
        </w:rPr>
        <w:t>Others will require further work to explore delivery options and funding opportunities.</w:t>
      </w:r>
      <w:r>
        <w:rPr>
          <w:rFonts w:eastAsia="Gill Sans MT"/>
        </w:rPr>
        <w:t xml:space="preserve"> </w:t>
      </w:r>
      <w:r w:rsidRPr="00C7330E">
        <w:rPr>
          <w:rFonts w:eastAsia="Gill Sans MT"/>
        </w:rPr>
        <w:t xml:space="preserve">However, given the scale and urgency of the challenge, it is important that the plan is ambitious whilst also being within the bounds of realism, </w:t>
      </w:r>
      <w:r w:rsidRPr="00C7330E">
        <w:rPr>
          <w:iCs/>
          <w:color w:val="242424"/>
          <w:shd w:val="clear" w:color="auto" w:fill="FFFFFF"/>
        </w:rPr>
        <w:t>acknowledging the funding limits as well as the policy differences between the Council’s net zero target and that of national government.</w:t>
      </w:r>
      <w:r w:rsidRPr="00C7330E">
        <w:rPr>
          <w:rFonts w:eastAsia="Gill Sans MT"/>
        </w:rPr>
        <w:t xml:space="preserve"> That is the balance we have sought to meet in putting this plan together.</w:t>
      </w:r>
    </w:p>
    <w:p w14:paraId="39FC5DDC" w14:textId="77777777" w:rsidR="009E294F" w:rsidRPr="00C7330E" w:rsidRDefault="009E294F" w:rsidP="009E294F">
      <w:pPr>
        <w:numPr>
          <w:ilvl w:val="0"/>
          <w:numId w:val="0"/>
        </w:numPr>
        <w:spacing w:before="0"/>
      </w:pPr>
    </w:p>
    <w:p w14:paraId="21A99C69" w14:textId="77777777" w:rsidR="009E294F" w:rsidRPr="00C7330E" w:rsidRDefault="009E294F" w:rsidP="009E294F">
      <w:pPr>
        <w:pStyle w:val="Numberedpagesubheading"/>
        <w:numPr>
          <w:ilvl w:val="0"/>
          <w:numId w:val="0"/>
        </w:numPr>
      </w:pPr>
      <w:r w:rsidRPr="2564C82B">
        <w:rPr>
          <w:lang w:val="en-US"/>
        </w:rPr>
        <w:lastRenderedPageBreak/>
        <w:t xml:space="preserve">Notes to accompany the NZAP. </w:t>
      </w:r>
    </w:p>
    <w:p w14:paraId="02E239AC" w14:textId="77777777" w:rsidR="009E294F" w:rsidRPr="00C7330E" w:rsidRDefault="009E294F" w:rsidP="009E294F">
      <w:pPr>
        <w:numPr>
          <w:ilvl w:val="0"/>
          <w:numId w:val="0"/>
        </w:numPr>
        <w:rPr>
          <w:bCs/>
        </w:rPr>
      </w:pPr>
      <w:r w:rsidRPr="00C7330E">
        <w:t>The</w:t>
      </w:r>
      <w:r w:rsidRPr="00C7330E">
        <w:rPr>
          <w:b/>
        </w:rPr>
        <w:t xml:space="preserve"> Carbon Management Hierarchy</w:t>
      </w:r>
      <w:r w:rsidRPr="00C7330E">
        <w:t xml:space="preserve"> </w:t>
      </w:r>
      <w:r w:rsidRPr="00C7330E">
        <w:rPr>
          <w:b/>
        </w:rPr>
        <w:t>(CMH)</w:t>
      </w:r>
      <w:r w:rsidRPr="00C7330E">
        <w:t xml:space="preserve"> is a prioritisation model in 4 steps (Avoid, Reduce, Replace and Offset). This model gives focus first to actions that avoid</w:t>
      </w:r>
      <w:r w:rsidRPr="00C7330E">
        <w:rPr>
          <w:rFonts w:cs="Helvetica"/>
        </w:rPr>
        <w:t xml:space="preserve"> emissions in the first place, followed by those that reduce emissions</w:t>
      </w:r>
      <w:r>
        <w:rPr>
          <w:rFonts w:cs="Helvetica"/>
        </w:rPr>
        <w:t>.</w:t>
      </w:r>
      <w:r w:rsidRPr="00C7330E">
        <w:rPr>
          <w:rFonts w:cs="Helvetica"/>
        </w:rPr>
        <w:t xml:space="preserve"> Lower in the hierarchy are actions to replace high carbon energy sources with low carbon alternatives, and offsetting is seen as the last resort or any residual emissions.</w:t>
      </w:r>
    </w:p>
    <w:p w14:paraId="3BCB2093" w14:textId="77777777" w:rsidR="009E294F" w:rsidRPr="00C7330E" w:rsidRDefault="009E294F" w:rsidP="009E294F">
      <w:pPr>
        <w:pStyle w:val="Numberedpagesubheading"/>
        <w:numPr>
          <w:ilvl w:val="0"/>
          <w:numId w:val="0"/>
        </w:numPr>
        <w:rPr>
          <w:rFonts w:cs="Helvetica"/>
          <w:b w:val="0"/>
          <w:shd w:val="clear" w:color="auto" w:fill="FFFFFF"/>
        </w:rPr>
      </w:pPr>
      <w:r w:rsidRPr="00C7330E">
        <w:rPr>
          <w:rFonts w:cs="Helvetica"/>
          <w:b w:val="0"/>
          <w:shd w:val="clear" w:color="auto" w:fill="FFFFFF"/>
        </w:rPr>
        <w:t xml:space="preserve">Indicators of </w:t>
      </w:r>
      <w:r w:rsidRPr="00C7330E">
        <w:rPr>
          <w:rFonts w:cs="Helvetica"/>
          <w:shd w:val="clear" w:color="auto" w:fill="FFFFFF"/>
        </w:rPr>
        <w:t>Impact</w:t>
      </w:r>
      <w:r w:rsidRPr="00C7330E">
        <w:rPr>
          <w:rFonts w:cs="Helvetica"/>
          <w:b w:val="0"/>
          <w:shd w:val="clear" w:color="auto" w:fill="FFFFFF"/>
        </w:rPr>
        <w:t xml:space="preserve"> and </w:t>
      </w:r>
      <w:r w:rsidRPr="00C7330E">
        <w:rPr>
          <w:rFonts w:cs="Helvetica"/>
          <w:shd w:val="clear" w:color="auto" w:fill="FFFFFF"/>
        </w:rPr>
        <w:t>Cost</w:t>
      </w:r>
      <w:r w:rsidRPr="00C7330E">
        <w:rPr>
          <w:rFonts w:cs="Helvetica"/>
          <w:b w:val="0"/>
          <w:shd w:val="clear" w:color="auto" w:fill="FFFFFF"/>
        </w:rPr>
        <w:t xml:space="preserve"> are presented for each strategic commitment to help guide and prioritize activity. Both are presented in terms of High/Medium or Low.</w:t>
      </w:r>
    </w:p>
    <w:p w14:paraId="7AAD7DDE" w14:textId="77777777" w:rsidR="009E294F" w:rsidRPr="00C7330E" w:rsidRDefault="009E294F" w:rsidP="009E294F">
      <w:pPr>
        <w:pStyle w:val="ListParagraph"/>
        <w:rPr>
          <w:rFonts w:cs="Helvetica"/>
          <w:shd w:val="clear" w:color="auto" w:fill="FFFFFF"/>
        </w:rPr>
      </w:pPr>
      <w:r w:rsidRPr="00C7330E">
        <w:rPr>
          <w:rFonts w:cs="Helvetica"/>
          <w:b/>
          <w:bCs/>
          <w:shd w:val="clear" w:color="auto" w:fill="FFFFFF"/>
        </w:rPr>
        <w:t>Impact</w:t>
      </w:r>
      <w:r w:rsidRPr="00C7330E">
        <w:rPr>
          <w:rFonts w:cs="Helvetica"/>
          <w:shd w:val="clear" w:color="auto" w:fill="FFFFFF"/>
        </w:rPr>
        <w:t xml:space="preserve"> – This is an indicator of the potential impact on emissions from the actions taken in the period. For corporate actions, the context is our known corporate emissions. For citywide influencing actions, the context is the city’s emissions.</w:t>
      </w:r>
    </w:p>
    <w:p w14:paraId="6CC2B604" w14:textId="77777777" w:rsidR="009E294F" w:rsidRPr="00C7330E" w:rsidRDefault="009E294F" w:rsidP="009E294F">
      <w:pPr>
        <w:pStyle w:val="ListParagraph"/>
        <w:rPr>
          <w:rFonts w:cs="Helvetica"/>
          <w:shd w:val="clear" w:color="auto" w:fill="FFFFFF"/>
        </w:rPr>
      </w:pPr>
      <w:r w:rsidRPr="00C7330E">
        <w:rPr>
          <w:rFonts w:cs="Helvetica"/>
          <w:shd w:val="clear" w:color="auto" w:fill="FFFFFF"/>
        </w:rPr>
        <w:t xml:space="preserve">High impact actions, once completed in full, are likely to make a significant impact on corporate carbon emissions. Low-impact actions may only marginally impact carbon emissions in this period, but may present other advantages, such as facilitating emission reductions elsewhere. </w:t>
      </w:r>
    </w:p>
    <w:p w14:paraId="04CDA7C6" w14:textId="77777777" w:rsidR="009E294F" w:rsidRPr="00C7330E" w:rsidRDefault="009E294F" w:rsidP="009E294F">
      <w:pPr>
        <w:pStyle w:val="ListParagraph"/>
        <w:rPr>
          <w:rFonts w:cs="Helvetica"/>
          <w:shd w:val="clear" w:color="auto" w:fill="FFFFFF"/>
        </w:rPr>
      </w:pPr>
      <w:r w:rsidRPr="00C7330E">
        <w:rPr>
          <w:rFonts w:cs="Helvetica"/>
          <w:shd w:val="clear" w:color="auto" w:fill="FFFFFF"/>
        </w:rPr>
        <w:t>We have further work to do on getting a complete understanding of all our corporate emissions, and this is reflected in the NZAP. This work will enable us to be more specific about our impact measures in future years.</w:t>
      </w:r>
    </w:p>
    <w:p w14:paraId="60AA1532" w14:textId="77777777" w:rsidR="009E294F" w:rsidRPr="00C7330E" w:rsidRDefault="009E294F" w:rsidP="009E294F">
      <w:pPr>
        <w:pStyle w:val="ListParagraph"/>
        <w:rPr>
          <w:rFonts w:cs="Helvetica"/>
          <w:shd w:val="clear" w:color="auto" w:fill="FFFFFF"/>
        </w:rPr>
      </w:pPr>
    </w:p>
    <w:p w14:paraId="77FBF6D4" w14:textId="77777777" w:rsidR="009E294F" w:rsidRPr="00C7330E" w:rsidRDefault="009E294F" w:rsidP="009E294F">
      <w:pPr>
        <w:pStyle w:val="ListParagraph"/>
        <w:rPr>
          <w:rFonts w:cs="Helvetica"/>
          <w:shd w:val="clear" w:color="auto" w:fill="FFFFFF"/>
        </w:rPr>
      </w:pPr>
      <w:r w:rsidRPr="00C7330E">
        <w:rPr>
          <w:rFonts w:cs="Helvetica"/>
          <w:b/>
          <w:bCs/>
          <w:shd w:val="clear" w:color="auto" w:fill="FFFFFF"/>
        </w:rPr>
        <w:t>Cost</w:t>
      </w:r>
      <w:r w:rsidRPr="00C7330E">
        <w:rPr>
          <w:rFonts w:cs="Helvetica"/>
          <w:shd w:val="clear" w:color="auto" w:fill="FFFFFF"/>
        </w:rPr>
        <w:t xml:space="preserve"> - This is an indicator of potential financial outlay (capital or revenue) needed to deliver the actin commitment. It is based on assumptions when specific data is not available. </w:t>
      </w:r>
    </w:p>
    <w:p w14:paraId="183910CA" w14:textId="77777777" w:rsidR="009E294F" w:rsidRPr="00C7330E" w:rsidRDefault="009E294F" w:rsidP="009E294F">
      <w:pPr>
        <w:pStyle w:val="ListParagraph"/>
        <w:rPr>
          <w:rFonts w:cs="Helvetica"/>
          <w:shd w:val="clear" w:color="auto" w:fill="FFFFFF"/>
        </w:rPr>
      </w:pPr>
      <w:r w:rsidRPr="00C7330E">
        <w:rPr>
          <w:rFonts w:cs="Helvetica"/>
          <w:shd w:val="clear" w:color="auto" w:fill="FFFFFF"/>
        </w:rPr>
        <w:t xml:space="preserve">High-cost activities are those that are likely to require significant outlay in relation to other areas of spend, Low-cost activities are expected to be funded with normal service budget. </w:t>
      </w:r>
    </w:p>
    <w:p w14:paraId="6045CCE7" w14:textId="77777777" w:rsidR="009E294F" w:rsidRPr="00DC60A9" w:rsidRDefault="009E294F" w:rsidP="009E294F">
      <w:pPr>
        <w:pStyle w:val="ListParagraph"/>
        <w:rPr>
          <w:rFonts w:cs="Helvetica"/>
          <w:shd w:val="clear" w:color="auto" w:fill="FFFFFF"/>
        </w:rPr>
      </w:pPr>
    </w:p>
    <w:p w14:paraId="70D2AA9C" w14:textId="77777777" w:rsidR="009E294F" w:rsidRPr="00C7330E" w:rsidRDefault="009E294F" w:rsidP="009E294F">
      <w:pPr>
        <w:numPr>
          <w:ilvl w:val="0"/>
          <w:numId w:val="0"/>
        </w:numPr>
        <w:rPr>
          <w:b/>
        </w:rPr>
      </w:pPr>
      <w:r w:rsidRPr="00C7330E">
        <w:rPr>
          <w:b/>
        </w:rPr>
        <w:t>Key terminology:</w:t>
      </w:r>
    </w:p>
    <w:p w14:paraId="5CE803B4" w14:textId="710DD1EB" w:rsidR="009E294F" w:rsidRPr="00C7330E" w:rsidRDefault="009E294F" w:rsidP="009E294F">
      <w:pPr>
        <w:numPr>
          <w:ilvl w:val="0"/>
          <w:numId w:val="0"/>
        </w:numPr>
      </w:pPr>
      <w:r w:rsidRPr="00C7330E">
        <w:t xml:space="preserve">Net Zero – An approach to minimise </w:t>
      </w:r>
      <w:r w:rsidR="00FE79AA">
        <w:t>g</w:t>
      </w:r>
      <w:r w:rsidRPr="00C7330E">
        <w:t xml:space="preserve">reenhouse </w:t>
      </w:r>
      <w:r w:rsidR="00FE79AA">
        <w:t>g</w:t>
      </w:r>
      <w:r w:rsidRPr="00C7330E">
        <w:t xml:space="preserve">as emissions to as close to zero as possible, and then put in place offsetting measures to cancel out emissions that cannot be avoided. </w:t>
      </w:r>
    </w:p>
    <w:p w14:paraId="4BE2F2EC" w14:textId="77777777" w:rsidR="009E294F" w:rsidRPr="00C7330E" w:rsidRDefault="009E294F" w:rsidP="009E294F">
      <w:pPr>
        <w:numPr>
          <w:ilvl w:val="0"/>
          <w:numId w:val="0"/>
        </w:numPr>
      </w:pPr>
      <w:r w:rsidRPr="00C7330E">
        <w:t xml:space="preserve">Carbon Neutrality – Carbon neutrality is the same approach, and the phrase is often used interchangeably, but the expression may be misleading as focusing only on carbon, one of four greenhouse gases. </w:t>
      </w:r>
    </w:p>
    <w:p w14:paraId="5C8E1C1A" w14:textId="7A9291C0" w:rsidR="009E294F" w:rsidRPr="00C7330E" w:rsidRDefault="009E294F" w:rsidP="009E294F">
      <w:pPr>
        <w:numPr>
          <w:ilvl w:val="0"/>
          <w:numId w:val="0"/>
        </w:numPr>
      </w:pPr>
      <w:r w:rsidRPr="00C7330E">
        <w:t xml:space="preserve">Scopes 1, 2 and 3 – are defined by an internationally accepted methodology for accounting for </w:t>
      </w:r>
      <w:r w:rsidR="00952E3C">
        <w:t>greenhouse gas</w:t>
      </w:r>
      <w:r w:rsidRPr="00C7330E">
        <w:t xml:space="preserve"> emissions, the </w:t>
      </w:r>
      <w:hyperlink r:id="rId34">
        <w:r w:rsidRPr="00C7330E">
          <w:rPr>
            <w:rStyle w:val="Hyperlink"/>
          </w:rPr>
          <w:t>Greenhouse Gas Protocol</w:t>
        </w:r>
      </w:hyperlink>
      <w:r w:rsidRPr="00C7330E">
        <w:t xml:space="preserve">. Scope 1 emissions relate to the direct burning of fossil fuels by an organisation, for example fuel for transport or gas for heating, Scope 2 emissions relate to emissions from purchased or acquired electricity, steam, heat, and cooling. Scope 3 emissions relate to all other activities where emissions are generated by a third party on behalf of an organisation, for example across our supply chain. </w:t>
      </w:r>
    </w:p>
    <w:p w14:paraId="52D8FF84" w14:textId="10C4C729" w:rsidR="009E294F" w:rsidRPr="00C7330E" w:rsidRDefault="009E294F" w:rsidP="009E294F">
      <w:pPr>
        <w:numPr>
          <w:ilvl w:val="0"/>
          <w:numId w:val="0"/>
        </w:numPr>
      </w:pPr>
      <w:r w:rsidRPr="00C7330E">
        <w:t xml:space="preserve">GHG – Greenhouse gases, including </w:t>
      </w:r>
      <w:r w:rsidR="00952E3C">
        <w:t>c</w:t>
      </w:r>
      <w:r w:rsidRPr="00C7330E">
        <w:t xml:space="preserve">arbon </w:t>
      </w:r>
      <w:r w:rsidR="00952E3C">
        <w:t>d</w:t>
      </w:r>
      <w:r w:rsidRPr="00C7330E">
        <w:t xml:space="preserve">ioxide, </w:t>
      </w:r>
      <w:r w:rsidR="00952E3C">
        <w:t>m</w:t>
      </w:r>
      <w:r w:rsidRPr="00C7330E">
        <w:t xml:space="preserve">ethane, </w:t>
      </w:r>
      <w:r w:rsidR="000567DC">
        <w:t>n</w:t>
      </w:r>
      <w:r w:rsidRPr="00C7330E">
        <w:t xml:space="preserve">itrous </w:t>
      </w:r>
      <w:r w:rsidR="000567DC">
        <w:t>o</w:t>
      </w:r>
      <w:r w:rsidRPr="00C7330E">
        <w:t xml:space="preserve">xide and </w:t>
      </w:r>
      <w:r w:rsidR="000567DC">
        <w:t>f</w:t>
      </w:r>
      <w:r w:rsidRPr="00C7330E">
        <w:t xml:space="preserve">luorinated </w:t>
      </w:r>
      <w:r w:rsidR="000567DC">
        <w:t>g</w:t>
      </w:r>
      <w:r w:rsidRPr="00C7330E">
        <w:t xml:space="preserve">ases. </w:t>
      </w:r>
    </w:p>
    <w:p w14:paraId="69CF3E45" w14:textId="77777777" w:rsidR="009E294F" w:rsidRPr="00C7330E" w:rsidRDefault="009E294F" w:rsidP="009E294F">
      <w:pPr>
        <w:numPr>
          <w:ilvl w:val="0"/>
          <w:numId w:val="0"/>
        </w:numPr>
      </w:pPr>
      <w:r w:rsidRPr="00C7330E">
        <w:t>Offsetting – a carbon offset is a financial product serving to compensate for carbon emissions by investing in a project that will reduce future emissions or capture existing CO</w:t>
      </w:r>
      <w:r w:rsidRPr="00C7330E">
        <w:rPr>
          <w:vertAlign w:val="subscript"/>
        </w:rPr>
        <w:t>2</w:t>
      </w:r>
      <w:r w:rsidRPr="00C7330E">
        <w:t xml:space="preserve"> from the atmosphere.</w:t>
      </w:r>
    </w:p>
    <w:p w14:paraId="4E94DCAB" w14:textId="77777777" w:rsidR="009E294F" w:rsidRPr="00C7330E" w:rsidRDefault="009E294F" w:rsidP="009E294F">
      <w:pPr>
        <w:numPr>
          <w:ilvl w:val="0"/>
          <w:numId w:val="0"/>
        </w:numPr>
      </w:pPr>
    </w:p>
    <w:p w14:paraId="3FE272C6" w14:textId="77777777" w:rsidR="009E294F" w:rsidRDefault="009E294F" w:rsidP="009E294F">
      <w:pPr>
        <w:pStyle w:val="ListSubbullet"/>
        <w:numPr>
          <w:ilvl w:val="0"/>
          <w:numId w:val="0"/>
        </w:numPr>
        <w:rPr>
          <w:b/>
        </w:rPr>
      </w:pPr>
      <w:r w:rsidRPr="00C7330E">
        <w:rPr>
          <w:b/>
        </w:rPr>
        <w:t xml:space="preserve">References: </w:t>
      </w:r>
    </w:p>
    <w:p w14:paraId="6D59E9EC" w14:textId="472F1FA7" w:rsidR="009E294F" w:rsidRPr="003B3910" w:rsidRDefault="009E294F" w:rsidP="009E294F">
      <w:pPr>
        <w:pStyle w:val="ListSubbullet"/>
      </w:pPr>
      <w:hyperlink r:id="rId35" w:history="1">
        <w:r w:rsidRPr="003B3910">
          <w:rPr>
            <w:rStyle w:val="Hyperlink"/>
          </w:rPr>
          <w:t>Plymouth City Council Carbon emissions monitoring report</w:t>
        </w:r>
      </w:hyperlink>
      <w:r w:rsidRPr="003B3910">
        <w:t>, June 2023</w:t>
      </w:r>
    </w:p>
    <w:p w14:paraId="2D6FF454" w14:textId="77777777" w:rsidR="009E294F" w:rsidRPr="00C7330E" w:rsidRDefault="009E294F" w:rsidP="009E294F">
      <w:pPr>
        <w:pStyle w:val="ListSubbullet"/>
      </w:pPr>
      <w:hyperlink r:id="rId36">
        <w:r w:rsidRPr="00C7330E">
          <w:rPr>
            <w:rStyle w:val="Hyperlink"/>
          </w:rPr>
          <w:t>Plymouth City Council Carbon emissions monitoring report</w:t>
        </w:r>
      </w:hyperlink>
      <w:r w:rsidRPr="00C7330E">
        <w:t>, June 2022</w:t>
      </w:r>
    </w:p>
    <w:p w14:paraId="3AFCFC14" w14:textId="665A606D" w:rsidR="009E294F" w:rsidRPr="00C7330E" w:rsidRDefault="009E294F" w:rsidP="009E294F">
      <w:pPr>
        <w:pStyle w:val="ListSubbullet"/>
      </w:pPr>
      <w:r w:rsidRPr="00C7330E">
        <w:t xml:space="preserve">Mitchell, </w:t>
      </w:r>
      <w:r w:rsidR="003B667E">
        <w:t xml:space="preserve">T.A. and </w:t>
      </w:r>
      <w:r w:rsidRPr="00C7330E">
        <w:t xml:space="preserve">Norton, </w:t>
      </w:r>
      <w:r w:rsidR="003B667E">
        <w:t>A.D.S. (</w:t>
      </w:r>
      <w:r w:rsidR="00860A8B">
        <w:t xml:space="preserve">2023) </w:t>
      </w:r>
      <w:r w:rsidRPr="00333540">
        <w:t>‘Plymouth Greenhouse Gas Reporting and Monitoring 202</w:t>
      </w:r>
      <w:r w:rsidR="00323305" w:rsidRPr="00333540">
        <w:t>3</w:t>
      </w:r>
      <w:r w:rsidRPr="00333540">
        <w:t>’</w:t>
      </w:r>
      <w:r w:rsidRPr="00C7330E">
        <w:t xml:space="preserve">, University of Exeter Centre for Energy and the Environment, </w:t>
      </w:r>
      <w:r>
        <w:t>July</w:t>
      </w:r>
      <w:r w:rsidRPr="00C7330E">
        <w:t xml:space="preserve"> 202</w:t>
      </w:r>
      <w:r>
        <w:t>3</w:t>
      </w:r>
      <w:r w:rsidR="001E0A24">
        <w:t xml:space="preserve">, Available at: </w:t>
      </w:r>
      <w:hyperlink r:id="rId37" w:history="1">
        <w:r w:rsidR="001E0A24" w:rsidRPr="001E0A24">
          <w:rPr>
            <w:rStyle w:val="Hyperlink"/>
            <w:lang w:val="en-GB"/>
          </w:rPr>
          <w:t>What does this mean for Plymouth? - Climate Connections Plymouth</w:t>
        </w:r>
      </w:hyperlink>
    </w:p>
    <w:p w14:paraId="165F62A3" w14:textId="0EE4E8C6" w:rsidR="009E294F" w:rsidRPr="00C7330E" w:rsidRDefault="009E294F" w:rsidP="009E294F">
      <w:pPr>
        <w:pStyle w:val="ListSubbullet"/>
      </w:pPr>
      <w:r w:rsidRPr="00C7330E">
        <w:lastRenderedPageBreak/>
        <w:t>Matrix Evans,</w:t>
      </w:r>
      <w:r w:rsidR="00E75C85">
        <w:t xml:space="preserve"> L. (2020)</w:t>
      </w:r>
      <w:r w:rsidRPr="00C7330E">
        <w:t xml:space="preserve"> ‘</w:t>
      </w:r>
      <w:hyperlink r:id="rId38">
        <w:r w:rsidRPr="00C7330E">
          <w:rPr>
            <w:rStyle w:val="Hyperlink"/>
          </w:rPr>
          <w:t>Local Authorities and the Sixth Carbon Budget’</w:t>
        </w:r>
      </w:hyperlink>
      <w:r w:rsidRPr="00C7330E">
        <w:t xml:space="preserve">, an independent report for the Climate Change Committee. </w:t>
      </w:r>
    </w:p>
    <w:p w14:paraId="6457B2BF" w14:textId="77777777" w:rsidR="009E294F" w:rsidRPr="008700BA" w:rsidRDefault="009E294F" w:rsidP="009E294F">
      <w:pPr>
        <w:pStyle w:val="ListSubbullet"/>
        <w:rPr>
          <w:rStyle w:val="Hyperlink"/>
          <w:color w:val="auto"/>
          <w:u w:val="none"/>
        </w:rPr>
      </w:pPr>
      <w:hyperlink r:id="rId39">
        <w:r w:rsidRPr="00C7330E">
          <w:rPr>
            <w:rStyle w:val="Hyperlink"/>
          </w:rPr>
          <w:t>Greenhouse Gas Protocol | (ghgprotocol.org)</w:t>
        </w:r>
      </w:hyperlink>
    </w:p>
    <w:p w14:paraId="137137AF" w14:textId="77777777" w:rsidR="009E294F" w:rsidRPr="00C7330E" w:rsidRDefault="009E294F" w:rsidP="009E294F">
      <w:pPr>
        <w:pStyle w:val="ListSubbullet"/>
        <w:numPr>
          <w:ilvl w:val="0"/>
          <w:numId w:val="0"/>
        </w:numPr>
      </w:pPr>
    </w:p>
    <w:p w14:paraId="62779201" w14:textId="4B64BA73" w:rsidR="008F2EEF" w:rsidRPr="000E7E52" w:rsidRDefault="008F2EEF" w:rsidP="00E3316A">
      <w:pPr>
        <w:pStyle w:val="ListParagraph"/>
        <w:numPr>
          <w:ilvl w:val="0"/>
          <w:numId w:val="15"/>
        </w:numPr>
        <w:spacing w:before="0" w:afterLines="60" w:after="144"/>
        <w:contextualSpacing w:val="0"/>
      </w:pPr>
      <w:r w:rsidRPr="000E7E52">
        <w:br w:type="page"/>
      </w:r>
    </w:p>
    <w:p w14:paraId="34B0AA9F" w14:textId="77777777" w:rsidR="008E6AC0" w:rsidRDefault="008E6AC0" w:rsidP="74C6CDB8">
      <w:pPr>
        <w:pStyle w:val="ListParagraph"/>
        <w:rPr>
          <w:sz w:val="32"/>
          <w:szCs w:val="32"/>
        </w:rPr>
        <w:sectPr w:rsidR="008E6AC0" w:rsidSect="00DB12C2">
          <w:headerReference w:type="default" r:id="rId40"/>
          <w:footerReference w:type="default" r:id="rId41"/>
          <w:type w:val="continuous"/>
          <w:pgSz w:w="11907" w:h="16840" w:code="9"/>
          <w:pgMar w:top="964" w:right="964" w:bottom="794" w:left="964" w:header="454" w:footer="567" w:gutter="0"/>
          <w:cols w:space="708"/>
          <w:docGrid w:linePitch="360"/>
        </w:sectPr>
      </w:pPr>
    </w:p>
    <w:p w14:paraId="79092C45" w14:textId="1A59C60B" w:rsidR="00A56DC6" w:rsidRDefault="00A56DC6" w:rsidP="00A56DC6">
      <w:pPr>
        <w:pStyle w:val="ListParagraph"/>
        <w:rPr>
          <w:b/>
          <w:bCs/>
          <w:sz w:val="32"/>
          <w:szCs w:val="32"/>
        </w:rPr>
      </w:pPr>
      <w:r w:rsidRPr="00C47F42">
        <w:rPr>
          <w:b/>
          <w:bCs/>
          <w:sz w:val="32"/>
          <w:szCs w:val="32"/>
        </w:rPr>
        <w:lastRenderedPageBreak/>
        <w:t xml:space="preserve">ANNEX </w:t>
      </w:r>
      <w:r w:rsidR="002718E7">
        <w:rPr>
          <w:b/>
          <w:bCs/>
          <w:sz w:val="32"/>
          <w:szCs w:val="32"/>
        </w:rPr>
        <w:t>ONE</w:t>
      </w:r>
      <w:r w:rsidRPr="00C47F42">
        <w:rPr>
          <w:b/>
          <w:bCs/>
          <w:sz w:val="32"/>
          <w:szCs w:val="32"/>
        </w:rPr>
        <w:t xml:space="preserve">: </w:t>
      </w:r>
      <w:r>
        <w:rPr>
          <w:b/>
          <w:bCs/>
          <w:sz w:val="32"/>
          <w:szCs w:val="32"/>
        </w:rPr>
        <w:t>Net Zero Action Plan 2025-2028</w:t>
      </w:r>
    </w:p>
    <w:p w14:paraId="450C74E2" w14:textId="77777777" w:rsidR="00AB54E4" w:rsidRDefault="00AB54E4" w:rsidP="00A56DC6">
      <w:pPr>
        <w:pStyle w:val="ListParagraph"/>
        <w:rPr>
          <w:b/>
          <w:bCs/>
          <w:sz w:val="32"/>
          <w:szCs w:val="32"/>
        </w:rPr>
      </w:pPr>
    </w:p>
    <w:tbl>
      <w:tblPr>
        <w:tblW w:w="5000" w:type="pct"/>
        <w:jc w:val="center"/>
        <w:tblCellMar>
          <w:top w:w="113" w:type="dxa"/>
          <w:bottom w:w="113" w:type="dxa"/>
        </w:tblCellMar>
        <w:tblLook w:val="0620" w:firstRow="1" w:lastRow="0" w:firstColumn="0" w:lastColumn="0" w:noHBand="1" w:noVBand="1"/>
      </w:tblPr>
      <w:tblGrid>
        <w:gridCol w:w="1195"/>
        <w:gridCol w:w="833"/>
        <w:gridCol w:w="1872"/>
        <w:gridCol w:w="2758"/>
        <w:gridCol w:w="5366"/>
        <w:gridCol w:w="1265"/>
        <w:gridCol w:w="1783"/>
      </w:tblGrid>
      <w:tr w:rsidR="00AB54E4" w:rsidRPr="00FE30EC" w14:paraId="06800DF2" w14:textId="77777777" w:rsidTr="008A38B7">
        <w:trPr>
          <w:cantSplit/>
          <w:tblHeader/>
          <w:jc w:val="center"/>
        </w:trPr>
        <w:tc>
          <w:tcPr>
            <w:tcW w:w="0" w:type="auto"/>
            <w:tcBorders>
              <w:top w:val="single" w:sz="4" w:space="0" w:color="auto"/>
              <w:left w:val="single" w:sz="4" w:space="0" w:color="auto"/>
              <w:right w:val="single" w:sz="4" w:space="0" w:color="auto"/>
            </w:tcBorders>
            <w:shd w:val="clear" w:color="auto" w:fill="D9D9D9" w:themeFill="background1" w:themeFillShade="D9"/>
            <w:vAlign w:val="center"/>
          </w:tcPr>
          <w:p w14:paraId="7406767E" w14:textId="6D0CC0E5" w:rsidR="00FE30EC" w:rsidRPr="00FE30EC" w:rsidRDefault="00FE30EC" w:rsidP="00FE30EC">
            <w:pPr>
              <w:numPr>
                <w:ilvl w:val="0"/>
                <w:numId w:val="0"/>
              </w:numPr>
              <w:spacing w:before="0"/>
              <w:jc w:val="center"/>
              <w:rPr>
                <w:rFonts w:cs="Calibri"/>
                <w:b/>
                <w:bCs/>
              </w:rPr>
            </w:pPr>
            <w:bookmarkStart w:id="1" w:name="_Hlk187935618"/>
            <w:r w:rsidRPr="00575F0C">
              <w:rPr>
                <w:rFonts w:cs="Calibri"/>
                <w:b/>
                <w:bCs/>
              </w:rPr>
              <w:t>Theme</w:t>
            </w:r>
          </w:p>
        </w:tc>
        <w:tc>
          <w:tcPr>
            <w:tcW w:w="0" w:type="auto"/>
            <w:tcBorders>
              <w:top w:val="single" w:sz="4" w:space="0" w:color="auto"/>
              <w:left w:val="nil"/>
              <w:right w:val="single" w:sz="4" w:space="0" w:color="auto"/>
            </w:tcBorders>
            <w:shd w:val="clear" w:color="auto" w:fill="D9D9D9" w:themeFill="background1" w:themeFillShade="D9"/>
            <w:vAlign w:val="center"/>
          </w:tcPr>
          <w:p w14:paraId="36FCBB68" w14:textId="1D5112BF" w:rsidR="00FE30EC" w:rsidRPr="00FE30EC" w:rsidRDefault="00FE30EC" w:rsidP="00FE30EC">
            <w:pPr>
              <w:numPr>
                <w:ilvl w:val="0"/>
                <w:numId w:val="0"/>
              </w:numPr>
              <w:spacing w:before="0"/>
              <w:jc w:val="center"/>
              <w:rPr>
                <w:rFonts w:cs="Calibri"/>
                <w:b/>
                <w:bCs/>
              </w:rPr>
            </w:pPr>
            <w:r w:rsidRPr="00575F0C">
              <w:rPr>
                <w:rFonts w:cs="Calibri"/>
                <w:b/>
                <w:bCs/>
              </w:rPr>
              <w:t>Ref.</w:t>
            </w:r>
          </w:p>
        </w:tc>
        <w:tc>
          <w:tcPr>
            <w:tcW w:w="621" w:type="pct"/>
            <w:tcBorders>
              <w:top w:val="single" w:sz="4" w:space="0" w:color="auto"/>
              <w:left w:val="nil"/>
              <w:right w:val="single" w:sz="4" w:space="0" w:color="auto"/>
            </w:tcBorders>
            <w:shd w:val="clear" w:color="auto" w:fill="D9D9D9" w:themeFill="background1" w:themeFillShade="D9"/>
            <w:vAlign w:val="center"/>
          </w:tcPr>
          <w:p w14:paraId="18AE5389" w14:textId="4A48DF1C" w:rsidR="00FE30EC" w:rsidRPr="00FE30EC" w:rsidRDefault="00FE30EC" w:rsidP="00FE30EC">
            <w:pPr>
              <w:numPr>
                <w:ilvl w:val="0"/>
                <w:numId w:val="0"/>
              </w:numPr>
              <w:spacing w:before="0"/>
              <w:jc w:val="center"/>
              <w:rPr>
                <w:rFonts w:cs="Calibri"/>
                <w:b/>
                <w:bCs/>
              </w:rPr>
            </w:pPr>
            <w:r w:rsidRPr="00575F0C">
              <w:rPr>
                <w:rFonts w:cs="Calibri"/>
                <w:b/>
                <w:bCs/>
              </w:rPr>
              <w:t>Goals for the period 2025/28</w:t>
            </w:r>
          </w:p>
        </w:tc>
        <w:tc>
          <w:tcPr>
            <w:tcW w:w="915" w:type="pct"/>
            <w:tcBorders>
              <w:top w:val="single" w:sz="4" w:space="0" w:color="auto"/>
              <w:left w:val="nil"/>
              <w:right w:val="single" w:sz="4" w:space="0" w:color="auto"/>
            </w:tcBorders>
            <w:shd w:val="clear" w:color="auto" w:fill="D9D9D9" w:themeFill="background1" w:themeFillShade="D9"/>
            <w:vAlign w:val="center"/>
          </w:tcPr>
          <w:p w14:paraId="72C75E92" w14:textId="68A41813" w:rsidR="00FE30EC" w:rsidRPr="00FE30EC" w:rsidRDefault="00FE30EC" w:rsidP="00FE30EC">
            <w:pPr>
              <w:numPr>
                <w:ilvl w:val="0"/>
                <w:numId w:val="0"/>
              </w:numPr>
              <w:spacing w:before="0"/>
              <w:jc w:val="center"/>
              <w:rPr>
                <w:rFonts w:cs="Calibri"/>
                <w:b/>
                <w:bCs/>
              </w:rPr>
            </w:pPr>
            <w:r w:rsidRPr="00575F0C">
              <w:rPr>
                <w:rFonts w:cs="Calibri"/>
                <w:b/>
                <w:bCs/>
              </w:rPr>
              <w:t>Strategic Commitment</w:t>
            </w:r>
          </w:p>
        </w:tc>
        <w:tc>
          <w:tcPr>
            <w:tcW w:w="178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58402E5" w14:textId="7A3C881C" w:rsidR="00FE30EC" w:rsidRPr="00AF0575" w:rsidRDefault="00FE30EC" w:rsidP="00FE30EC">
            <w:pPr>
              <w:numPr>
                <w:ilvl w:val="0"/>
                <w:numId w:val="0"/>
              </w:numPr>
              <w:spacing w:before="0"/>
              <w:jc w:val="center"/>
              <w:rPr>
                <w:rFonts w:cs="Calibri"/>
                <w:b/>
                <w:bCs/>
              </w:rPr>
            </w:pPr>
            <w:r w:rsidRPr="00575F0C">
              <w:rPr>
                <w:rFonts w:cs="Calibri"/>
                <w:b/>
                <w:bCs/>
              </w:rPr>
              <w:t>Actions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46FEEC6" w14:textId="7F3E99FF" w:rsidR="00FE30EC" w:rsidRPr="00FE30EC" w:rsidRDefault="00FE30EC" w:rsidP="00FE30EC">
            <w:pPr>
              <w:numPr>
                <w:ilvl w:val="0"/>
                <w:numId w:val="0"/>
              </w:numPr>
              <w:spacing w:before="0"/>
              <w:jc w:val="center"/>
              <w:rPr>
                <w:rFonts w:cs="Calibri"/>
                <w:b/>
                <w:bCs/>
              </w:rPr>
            </w:pPr>
            <w:r w:rsidRPr="00575F0C">
              <w:rPr>
                <w:rFonts w:cs="Calibri"/>
                <w:b/>
                <w:bCs/>
              </w:rPr>
              <w:t>Year</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527E4C5" w14:textId="1FA6C758" w:rsidR="00FE30EC" w:rsidRPr="00FE30EC" w:rsidRDefault="00FE30EC" w:rsidP="00D90B48">
            <w:pPr>
              <w:numPr>
                <w:ilvl w:val="0"/>
                <w:numId w:val="0"/>
              </w:numPr>
              <w:spacing w:before="0"/>
              <w:jc w:val="center"/>
              <w:rPr>
                <w:rFonts w:cs="Calibri"/>
                <w:b/>
                <w:bCs/>
              </w:rPr>
            </w:pPr>
            <w:r w:rsidRPr="00575F0C">
              <w:rPr>
                <w:rFonts w:cs="Calibri"/>
                <w:b/>
                <w:bCs/>
              </w:rPr>
              <w:t>Strategic Leader</w:t>
            </w:r>
          </w:p>
        </w:tc>
      </w:tr>
      <w:tr w:rsidR="00AB54E4" w:rsidRPr="00E553C6" w14:paraId="067E45BE"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F2CC"/>
            <w:vAlign w:val="center"/>
          </w:tcPr>
          <w:p w14:paraId="5549CEB7" w14:textId="66D8ED55" w:rsidR="00FE30EC" w:rsidRPr="00243F43" w:rsidRDefault="00FE30EC" w:rsidP="00FE30EC">
            <w:pPr>
              <w:numPr>
                <w:ilvl w:val="0"/>
                <w:numId w:val="0"/>
              </w:numPr>
              <w:spacing w:before="0"/>
              <w:jc w:val="center"/>
              <w:rPr>
                <w:rFonts w:cs="Calibri"/>
                <w:sz w:val="22"/>
                <w:szCs w:val="22"/>
              </w:rPr>
            </w:pPr>
            <w:r w:rsidRPr="00AF0575">
              <w:rPr>
                <w:rFonts w:cs="Calibri"/>
                <w:sz w:val="22"/>
                <w:szCs w:val="22"/>
              </w:rPr>
              <w:t>Buildings, Heat and Power</w:t>
            </w:r>
          </w:p>
        </w:tc>
        <w:tc>
          <w:tcPr>
            <w:tcW w:w="0" w:type="auto"/>
            <w:vMerge w:val="restart"/>
            <w:tcBorders>
              <w:top w:val="single" w:sz="4" w:space="0" w:color="auto"/>
              <w:left w:val="nil"/>
              <w:right w:val="single" w:sz="4" w:space="0" w:color="auto"/>
            </w:tcBorders>
            <w:shd w:val="clear" w:color="auto" w:fill="FFF2CC"/>
            <w:vAlign w:val="center"/>
          </w:tcPr>
          <w:p w14:paraId="0B8C28B0" w14:textId="458B218B" w:rsidR="00FE30EC" w:rsidRPr="00243F43" w:rsidRDefault="00FE30EC" w:rsidP="00FE30EC">
            <w:pPr>
              <w:tabs>
                <w:tab w:val="clear" w:pos="0"/>
              </w:tabs>
              <w:spacing w:before="0"/>
              <w:jc w:val="center"/>
              <w:rPr>
                <w:rFonts w:cs="Calibri"/>
                <w:sz w:val="22"/>
                <w:szCs w:val="22"/>
              </w:rPr>
            </w:pPr>
            <w:r w:rsidRPr="00AF0575">
              <w:rPr>
                <w:rFonts w:cs="Calibri"/>
                <w:sz w:val="22"/>
                <w:szCs w:val="22"/>
              </w:rPr>
              <w:t>BHP1</w:t>
            </w:r>
          </w:p>
        </w:tc>
        <w:tc>
          <w:tcPr>
            <w:tcW w:w="621" w:type="pct"/>
            <w:vMerge w:val="restart"/>
            <w:tcBorders>
              <w:top w:val="single" w:sz="4" w:space="0" w:color="auto"/>
              <w:left w:val="nil"/>
              <w:right w:val="single" w:sz="4" w:space="0" w:color="auto"/>
            </w:tcBorders>
            <w:shd w:val="clear" w:color="auto" w:fill="FFF2CC"/>
            <w:vAlign w:val="center"/>
          </w:tcPr>
          <w:p w14:paraId="1B019220" w14:textId="39BA57C9" w:rsidR="00FE30EC" w:rsidRPr="00243F43" w:rsidRDefault="00FE30EC" w:rsidP="00FE30EC">
            <w:pPr>
              <w:tabs>
                <w:tab w:val="clear" w:pos="0"/>
              </w:tabs>
              <w:spacing w:before="0"/>
              <w:jc w:val="center"/>
              <w:rPr>
                <w:rFonts w:cs="Calibri"/>
                <w:sz w:val="22"/>
                <w:szCs w:val="22"/>
              </w:rPr>
            </w:pPr>
            <w:r w:rsidRPr="00AF0575">
              <w:rPr>
                <w:rFonts w:cs="Calibri"/>
                <w:sz w:val="22"/>
                <w:szCs w:val="22"/>
              </w:rPr>
              <w:t>Reduction in carbon emissions from our estate by 20% between 2025 and 2028</w:t>
            </w:r>
          </w:p>
        </w:tc>
        <w:tc>
          <w:tcPr>
            <w:tcW w:w="915" w:type="pct"/>
            <w:vMerge w:val="restart"/>
            <w:tcBorders>
              <w:top w:val="single" w:sz="4" w:space="0" w:color="auto"/>
              <w:left w:val="nil"/>
              <w:right w:val="single" w:sz="4" w:space="0" w:color="auto"/>
            </w:tcBorders>
            <w:shd w:val="clear" w:color="auto" w:fill="FFF2CC"/>
            <w:vAlign w:val="center"/>
          </w:tcPr>
          <w:p w14:paraId="264F9338" w14:textId="5C3CC9A3" w:rsidR="00FE30EC" w:rsidRPr="00243F43" w:rsidRDefault="00FE30EC" w:rsidP="00FE30EC">
            <w:pPr>
              <w:tabs>
                <w:tab w:val="clear" w:pos="0"/>
              </w:tabs>
              <w:spacing w:before="0"/>
              <w:jc w:val="center"/>
              <w:rPr>
                <w:rFonts w:cs="Calibri"/>
                <w:sz w:val="22"/>
                <w:szCs w:val="22"/>
              </w:rPr>
            </w:pPr>
            <w:r w:rsidRPr="00AF0575">
              <w:rPr>
                <w:rFonts w:cs="Calibri"/>
                <w:sz w:val="22"/>
                <w:szCs w:val="22"/>
              </w:rPr>
              <w:t>Improve the thermal performance and energy efficiency of all remaining corporate workspaces and end the use of fossil fuel heating.</w:t>
            </w:r>
          </w:p>
        </w:tc>
        <w:tc>
          <w:tcPr>
            <w:tcW w:w="1780" w:type="pct"/>
            <w:tcBorders>
              <w:top w:val="single" w:sz="4" w:space="0" w:color="auto"/>
              <w:left w:val="nil"/>
              <w:bottom w:val="single" w:sz="4" w:space="0" w:color="auto"/>
              <w:right w:val="single" w:sz="4" w:space="0" w:color="auto"/>
            </w:tcBorders>
            <w:shd w:val="clear" w:color="auto" w:fill="FFF2CC"/>
            <w:vAlign w:val="center"/>
          </w:tcPr>
          <w:p w14:paraId="55CF8AA8" w14:textId="5B91F62F" w:rsidR="00FE30EC" w:rsidRPr="00243F43" w:rsidRDefault="00FE30EC" w:rsidP="00FE30EC">
            <w:pPr>
              <w:tabs>
                <w:tab w:val="clear" w:pos="0"/>
              </w:tabs>
              <w:spacing w:before="0"/>
              <w:jc w:val="center"/>
              <w:rPr>
                <w:rFonts w:cs="Calibri"/>
                <w:b/>
                <w:bCs/>
              </w:rPr>
            </w:pPr>
            <w:r w:rsidRPr="00AF0575">
              <w:rPr>
                <w:rFonts w:cs="Calibri"/>
                <w:b/>
                <w:bCs/>
              </w:rPr>
              <w:t>Continue the programme of energy audits on council property and create a strategic plan for minimising energy waste.</w:t>
            </w:r>
          </w:p>
        </w:tc>
        <w:tc>
          <w:tcPr>
            <w:tcW w:w="0" w:type="auto"/>
            <w:tcBorders>
              <w:top w:val="single" w:sz="4" w:space="0" w:color="auto"/>
              <w:left w:val="nil"/>
              <w:bottom w:val="single" w:sz="4" w:space="0" w:color="auto"/>
              <w:right w:val="single" w:sz="4" w:space="0" w:color="auto"/>
            </w:tcBorders>
            <w:shd w:val="clear" w:color="auto" w:fill="FFF2CC"/>
            <w:vAlign w:val="center"/>
          </w:tcPr>
          <w:p w14:paraId="16073B88" w14:textId="44287C69" w:rsidR="00FE30EC" w:rsidRPr="00487882" w:rsidRDefault="00FE30EC" w:rsidP="00FE30EC">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FFF2CC"/>
            <w:vAlign w:val="center"/>
          </w:tcPr>
          <w:p w14:paraId="2E83847C" w14:textId="0E606565" w:rsidR="00FE30EC" w:rsidRPr="00243F43" w:rsidRDefault="00FE30EC" w:rsidP="00D90B48">
            <w:pPr>
              <w:tabs>
                <w:tab w:val="clear" w:pos="0"/>
              </w:tabs>
              <w:spacing w:before="0"/>
              <w:jc w:val="center"/>
              <w:rPr>
                <w:rFonts w:cs="Calibri"/>
                <w:sz w:val="22"/>
                <w:szCs w:val="22"/>
              </w:rPr>
            </w:pPr>
            <w:r w:rsidRPr="00AF0575">
              <w:rPr>
                <w:rFonts w:cs="Calibri"/>
                <w:sz w:val="22"/>
                <w:szCs w:val="22"/>
              </w:rPr>
              <w:t>Interim Chief Operating Officer</w:t>
            </w:r>
          </w:p>
        </w:tc>
      </w:tr>
      <w:tr w:rsidR="00AB54E4" w:rsidRPr="00AF0575" w14:paraId="3A7C00A8" w14:textId="77777777" w:rsidTr="008A38B7">
        <w:trPr>
          <w:cantSplit/>
          <w:jc w:val="center"/>
        </w:trPr>
        <w:tc>
          <w:tcPr>
            <w:tcW w:w="0" w:type="auto"/>
            <w:vMerge/>
            <w:tcBorders>
              <w:left w:val="single" w:sz="4" w:space="0" w:color="auto"/>
              <w:right w:val="single" w:sz="4" w:space="0" w:color="auto"/>
            </w:tcBorders>
            <w:shd w:val="clear" w:color="auto" w:fill="FFF2CC"/>
            <w:vAlign w:val="center"/>
          </w:tcPr>
          <w:p w14:paraId="3BCE35E0" w14:textId="204CB819" w:rsidR="00FE30EC" w:rsidRPr="00AF0575" w:rsidRDefault="00FE30EC" w:rsidP="00FE30EC">
            <w:pPr>
              <w:numPr>
                <w:ilvl w:val="0"/>
                <w:numId w:val="0"/>
              </w:numPr>
              <w:spacing w:before="0"/>
              <w:jc w:val="center"/>
              <w:rPr>
                <w:rFonts w:cs="Calibri"/>
                <w:sz w:val="22"/>
                <w:szCs w:val="22"/>
              </w:rPr>
            </w:pPr>
          </w:p>
        </w:tc>
        <w:tc>
          <w:tcPr>
            <w:tcW w:w="0" w:type="auto"/>
            <w:vMerge/>
            <w:tcBorders>
              <w:left w:val="nil"/>
              <w:right w:val="single" w:sz="4" w:space="0" w:color="auto"/>
            </w:tcBorders>
            <w:shd w:val="clear" w:color="auto" w:fill="FFF2CC"/>
            <w:vAlign w:val="center"/>
          </w:tcPr>
          <w:p w14:paraId="70F5B773" w14:textId="3A3F55A6" w:rsidR="00FE30EC" w:rsidRPr="00AF0575" w:rsidRDefault="00FE30EC" w:rsidP="00FE30EC">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F2CC"/>
            <w:vAlign w:val="center"/>
          </w:tcPr>
          <w:p w14:paraId="1D8BB841" w14:textId="2AC58E7C" w:rsidR="00FE30EC" w:rsidRPr="00AF0575" w:rsidRDefault="00FE30EC" w:rsidP="00FE30EC">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F2CC"/>
            <w:vAlign w:val="center"/>
          </w:tcPr>
          <w:p w14:paraId="14286AA9" w14:textId="77F7E1F7" w:rsidR="00FE30EC" w:rsidRPr="00AF0575" w:rsidRDefault="00FE30EC" w:rsidP="00FE30EC">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F2CC"/>
            <w:vAlign w:val="center"/>
          </w:tcPr>
          <w:p w14:paraId="6D908F16" w14:textId="6B5E5FF2" w:rsidR="00FE30EC" w:rsidRPr="00AF0575" w:rsidRDefault="00FE30EC" w:rsidP="00FE30EC">
            <w:pPr>
              <w:tabs>
                <w:tab w:val="clear" w:pos="0"/>
              </w:tabs>
              <w:spacing w:before="0"/>
              <w:jc w:val="center"/>
              <w:rPr>
                <w:rFonts w:cs="Calibri"/>
                <w:b/>
                <w:bCs/>
              </w:rPr>
            </w:pPr>
            <w:r w:rsidRPr="00AF0575">
              <w:rPr>
                <w:rFonts w:cs="Calibri"/>
                <w:b/>
                <w:bCs/>
              </w:rPr>
              <w:t xml:space="preserve">Pursue funding opportunities to implement smart controls for heating and deliver fabric-first heat retention measures across our corporate estate. </w:t>
            </w:r>
          </w:p>
        </w:tc>
        <w:tc>
          <w:tcPr>
            <w:tcW w:w="0" w:type="auto"/>
            <w:tcBorders>
              <w:top w:val="single" w:sz="4" w:space="0" w:color="auto"/>
              <w:left w:val="nil"/>
              <w:bottom w:val="single" w:sz="4" w:space="0" w:color="auto"/>
              <w:right w:val="single" w:sz="4" w:space="0" w:color="auto"/>
            </w:tcBorders>
            <w:shd w:val="clear" w:color="auto" w:fill="FFF2CC"/>
            <w:vAlign w:val="center"/>
          </w:tcPr>
          <w:p w14:paraId="5DCE39F3" w14:textId="20E27705" w:rsidR="00FE30EC" w:rsidRPr="00AF0575" w:rsidRDefault="00FE30EC" w:rsidP="00FE30EC">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F2CC"/>
            <w:vAlign w:val="center"/>
          </w:tcPr>
          <w:p w14:paraId="4B91FBF7" w14:textId="231E7B68" w:rsidR="00FE30EC" w:rsidRPr="00AF0575" w:rsidRDefault="00FE30EC" w:rsidP="00D90B48">
            <w:pPr>
              <w:tabs>
                <w:tab w:val="clear" w:pos="0"/>
              </w:tabs>
              <w:spacing w:before="0"/>
              <w:jc w:val="center"/>
              <w:rPr>
                <w:rFonts w:cs="Calibri"/>
                <w:sz w:val="22"/>
                <w:szCs w:val="22"/>
              </w:rPr>
            </w:pPr>
            <w:r w:rsidRPr="00AF0575">
              <w:rPr>
                <w:rFonts w:cs="Calibri"/>
                <w:sz w:val="22"/>
                <w:szCs w:val="22"/>
              </w:rPr>
              <w:t>Interim Chief Operating Officer</w:t>
            </w:r>
          </w:p>
        </w:tc>
      </w:tr>
      <w:tr w:rsidR="00AB54E4" w:rsidRPr="00AF0575" w14:paraId="4BB92264" w14:textId="77777777" w:rsidTr="008A38B7">
        <w:trPr>
          <w:cantSplit/>
          <w:jc w:val="center"/>
        </w:trPr>
        <w:tc>
          <w:tcPr>
            <w:tcW w:w="0" w:type="auto"/>
            <w:vMerge/>
            <w:tcBorders>
              <w:left w:val="single" w:sz="4" w:space="0" w:color="auto"/>
              <w:right w:val="single" w:sz="4" w:space="0" w:color="auto"/>
            </w:tcBorders>
            <w:shd w:val="clear" w:color="auto" w:fill="FFF2CC"/>
            <w:vAlign w:val="center"/>
          </w:tcPr>
          <w:p w14:paraId="42320346" w14:textId="77777777" w:rsidR="00FE30EC" w:rsidRPr="00AF0575" w:rsidRDefault="00FE30EC" w:rsidP="00FE30EC">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F2CC"/>
            <w:vAlign w:val="center"/>
          </w:tcPr>
          <w:p w14:paraId="13B470E5" w14:textId="77777777" w:rsidR="00FE30EC" w:rsidRPr="00AF0575" w:rsidRDefault="00FE30EC" w:rsidP="00FE30EC">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F2CC"/>
            <w:vAlign w:val="center"/>
          </w:tcPr>
          <w:p w14:paraId="0C5BBA37" w14:textId="77777777" w:rsidR="00FE30EC" w:rsidRPr="00AF0575" w:rsidRDefault="00FE30EC" w:rsidP="00FE30EC">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F2CC"/>
            <w:vAlign w:val="center"/>
          </w:tcPr>
          <w:p w14:paraId="36038C39" w14:textId="77777777" w:rsidR="00FE30EC" w:rsidRPr="00AF0575" w:rsidRDefault="00FE30EC" w:rsidP="00FE30EC">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F2CC"/>
            <w:vAlign w:val="center"/>
          </w:tcPr>
          <w:p w14:paraId="4127420B" w14:textId="1AE25BBC" w:rsidR="00FE30EC" w:rsidRPr="00AF0575" w:rsidRDefault="00E3316A" w:rsidP="00FE30EC">
            <w:pPr>
              <w:tabs>
                <w:tab w:val="clear" w:pos="0"/>
              </w:tabs>
              <w:spacing w:before="0"/>
              <w:jc w:val="center"/>
              <w:rPr>
                <w:rFonts w:cs="Calibri"/>
                <w:b/>
                <w:bCs/>
              </w:rPr>
            </w:pPr>
            <w:r>
              <w:rPr>
                <w:rFonts w:cs="Calibri"/>
                <w:b/>
                <w:bCs/>
              </w:rPr>
              <w:t>Replace</w:t>
            </w:r>
            <w:r w:rsidR="00FE30EC" w:rsidRPr="00AF0575">
              <w:rPr>
                <w:rFonts w:cs="Calibri"/>
                <w:b/>
                <w:bCs/>
              </w:rPr>
              <w:t xml:space="preserve"> gas boilers in city council buildings</w:t>
            </w:r>
            <w:r w:rsidR="00FE30EC" w:rsidRPr="00243F43">
              <w:rPr>
                <w:rFonts w:cs="Calibri"/>
                <w:b/>
                <w:bCs/>
              </w:rPr>
              <w:t xml:space="preserve"> </w:t>
            </w:r>
            <w:r w:rsidR="00FE30EC" w:rsidRPr="00AF0575">
              <w:rPr>
                <w:rFonts w:cs="Calibri"/>
                <w:b/>
                <w:bCs/>
              </w:rPr>
              <w:t>through, for example, the installation of heat pumps or connection to low carbon heat networks.</w:t>
            </w:r>
          </w:p>
        </w:tc>
        <w:tc>
          <w:tcPr>
            <w:tcW w:w="0" w:type="auto"/>
            <w:tcBorders>
              <w:top w:val="single" w:sz="4" w:space="0" w:color="auto"/>
              <w:left w:val="nil"/>
              <w:bottom w:val="single" w:sz="4" w:space="0" w:color="auto"/>
              <w:right w:val="single" w:sz="4" w:space="0" w:color="auto"/>
            </w:tcBorders>
            <w:shd w:val="clear" w:color="auto" w:fill="FFF2CC"/>
            <w:vAlign w:val="center"/>
          </w:tcPr>
          <w:p w14:paraId="1A1D89F3" w14:textId="14780D08" w:rsidR="00FE30EC" w:rsidRPr="00AF0575" w:rsidRDefault="00FE30EC" w:rsidP="00FE30EC">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F2CC"/>
            <w:vAlign w:val="center"/>
          </w:tcPr>
          <w:p w14:paraId="7A41DC9B" w14:textId="63710298" w:rsidR="00FE30EC" w:rsidRPr="00AF0575" w:rsidRDefault="00FE30EC" w:rsidP="00D90B48">
            <w:pPr>
              <w:tabs>
                <w:tab w:val="clear" w:pos="0"/>
              </w:tabs>
              <w:spacing w:before="0"/>
              <w:jc w:val="center"/>
              <w:rPr>
                <w:rFonts w:cs="Calibri"/>
                <w:sz w:val="22"/>
                <w:szCs w:val="22"/>
              </w:rPr>
            </w:pPr>
            <w:r w:rsidRPr="00AF0575">
              <w:rPr>
                <w:rFonts w:cs="Calibri"/>
                <w:sz w:val="22"/>
                <w:szCs w:val="22"/>
              </w:rPr>
              <w:t>Interim Chief Operating Officer</w:t>
            </w:r>
          </w:p>
        </w:tc>
      </w:tr>
      <w:tr w:rsidR="00AB54E4" w:rsidRPr="00AF0575" w14:paraId="4A902601" w14:textId="77777777" w:rsidTr="008A38B7">
        <w:trPr>
          <w:cantSplit/>
          <w:jc w:val="center"/>
        </w:trPr>
        <w:tc>
          <w:tcPr>
            <w:tcW w:w="0" w:type="auto"/>
            <w:vMerge/>
            <w:tcBorders>
              <w:left w:val="single" w:sz="4" w:space="0" w:color="auto"/>
              <w:right w:val="single" w:sz="4" w:space="0" w:color="auto"/>
            </w:tcBorders>
            <w:shd w:val="clear" w:color="auto" w:fill="FFF2CC"/>
            <w:vAlign w:val="center"/>
          </w:tcPr>
          <w:p w14:paraId="18692861" w14:textId="77777777" w:rsidR="00FE30EC" w:rsidRPr="00AF0575" w:rsidRDefault="00FE30EC" w:rsidP="00FE30EC">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F2CC"/>
            <w:vAlign w:val="center"/>
          </w:tcPr>
          <w:p w14:paraId="153EC0BF" w14:textId="77777777" w:rsidR="00FE30EC" w:rsidRPr="00AF0575" w:rsidRDefault="00FE30EC" w:rsidP="00FE30EC">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F2CC"/>
            <w:vAlign w:val="center"/>
          </w:tcPr>
          <w:p w14:paraId="23751902" w14:textId="77777777" w:rsidR="00FE30EC" w:rsidRPr="00AF0575" w:rsidRDefault="00FE30EC" w:rsidP="00FE30EC">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F2CC"/>
            <w:vAlign w:val="center"/>
          </w:tcPr>
          <w:p w14:paraId="5E4D2F5A" w14:textId="77777777" w:rsidR="00FE30EC" w:rsidRPr="00AF0575" w:rsidRDefault="00FE30EC" w:rsidP="00FE30EC">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521E706D" w14:textId="52733C09" w:rsidR="00FE30EC" w:rsidRPr="00AF0575" w:rsidRDefault="00FE30EC" w:rsidP="00FE30EC">
            <w:pPr>
              <w:tabs>
                <w:tab w:val="clear" w:pos="0"/>
              </w:tabs>
              <w:spacing w:before="0"/>
              <w:jc w:val="center"/>
              <w:rPr>
                <w:rFonts w:cs="Calibri"/>
                <w:b/>
                <w:bCs/>
              </w:rPr>
            </w:pPr>
            <w:r w:rsidRPr="00AF0575">
              <w:rPr>
                <w:rFonts w:cs="Calibri"/>
                <w:b/>
                <w:bCs/>
              </w:rPr>
              <w:t>Produce a costed plan for retrofitting the council</w:t>
            </w:r>
            <w:r w:rsidR="00512C14">
              <w:rPr>
                <w:rFonts w:cs="Calibri"/>
                <w:b/>
                <w:bCs/>
              </w:rPr>
              <w:t>’</w:t>
            </w:r>
            <w:r w:rsidRPr="00AF0575">
              <w:rPr>
                <w:rFonts w:cs="Calibri"/>
                <w:b/>
                <w:bCs/>
              </w:rPr>
              <w:t>s estate, prioritising invest-to-save measures</w:t>
            </w:r>
            <w:r>
              <w:rPr>
                <w:rFonts w:cs="Calibri"/>
                <w:b/>
                <w:bCs/>
              </w:rPr>
              <w:t>.</w:t>
            </w:r>
            <w:r w:rsidRPr="00AF0575">
              <w:rPr>
                <w:rFonts w:cs="Calibri"/>
                <w:b/>
                <w:bCs/>
              </w:rPr>
              <w:t xml:space="preserve"> </w:t>
            </w:r>
          </w:p>
        </w:tc>
        <w:tc>
          <w:tcPr>
            <w:tcW w:w="0" w:type="auto"/>
            <w:tcBorders>
              <w:top w:val="single" w:sz="4" w:space="0" w:color="auto"/>
              <w:left w:val="nil"/>
              <w:bottom w:val="single" w:sz="4" w:space="0" w:color="auto"/>
              <w:right w:val="single" w:sz="4" w:space="0" w:color="auto"/>
            </w:tcBorders>
            <w:shd w:val="clear" w:color="auto" w:fill="E2EFDA"/>
            <w:vAlign w:val="center"/>
          </w:tcPr>
          <w:p w14:paraId="74CBF28A" w14:textId="30A5CBE1" w:rsidR="00FE30EC" w:rsidRPr="00AF0575" w:rsidRDefault="00FE30EC" w:rsidP="00FE30EC">
            <w:pPr>
              <w:tabs>
                <w:tab w:val="clear" w:pos="0"/>
              </w:tabs>
              <w:spacing w:before="0"/>
              <w:jc w:val="center"/>
              <w:rPr>
                <w:rFonts w:cs="Calibri"/>
                <w:b/>
                <w:bCs/>
                <w:sz w:val="22"/>
                <w:szCs w:val="22"/>
              </w:rPr>
            </w:pPr>
            <w:r w:rsidRPr="00AF0575">
              <w:rPr>
                <w:rFonts w:cs="Calibri"/>
                <w:b/>
                <w:bCs/>
                <w:sz w:val="22"/>
                <w:szCs w:val="22"/>
              </w:rPr>
              <w:t>2025-27</w:t>
            </w:r>
          </w:p>
        </w:tc>
        <w:tc>
          <w:tcPr>
            <w:tcW w:w="0" w:type="auto"/>
            <w:tcBorders>
              <w:top w:val="single" w:sz="4" w:space="0" w:color="auto"/>
              <w:left w:val="nil"/>
              <w:bottom w:val="single" w:sz="4" w:space="0" w:color="auto"/>
              <w:right w:val="single" w:sz="4" w:space="0" w:color="auto"/>
            </w:tcBorders>
            <w:shd w:val="clear" w:color="auto" w:fill="E2EFDA"/>
            <w:vAlign w:val="center"/>
          </w:tcPr>
          <w:p w14:paraId="4F249C61" w14:textId="017D7BCE" w:rsidR="00FE30EC" w:rsidRPr="00AF0575" w:rsidRDefault="00FE30EC" w:rsidP="00D90B48">
            <w:pPr>
              <w:tabs>
                <w:tab w:val="clear" w:pos="0"/>
              </w:tabs>
              <w:spacing w:before="0"/>
              <w:jc w:val="center"/>
              <w:rPr>
                <w:rFonts w:cs="Calibri"/>
                <w:sz w:val="22"/>
                <w:szCs w:val="22"/>
              </w:rPr>
            </w:pPr>
            <w:r w:rsidRPr="00AF0575">
              <w:rPr>
                <w:rFonts w:cs="Calibri"/>
                <w:sz w:val="22"/>
                <w:szCs w:val="22"/>
              </w:rPr>
              <w:t>Interim Chief Operating Officer</w:t>
            </w:r>
          </w:p>
        </w:tc>
      </w:tr>
      <w:tr w:rsidR="00AB54E4" w:rsidRPr="00AF0575" w14:paraId="285BCE24"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F2CC"/>
            <w:vAlign w:val="center"/>
          </w:tcPr>
          <w:p w14:paraId="170EDC5E" w14:textId="77777777" w:rsidR="00FE30EC" w:rsidRPr="00AF0575" w:rsidRDefault="00FE30EC" w:rsidP="00FE30EC">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F2CC"/>
            <w:vAlign w:val="center"/>
          </w:tcPr>
          <w:p w14:paraId="3028BA1F" w14:textId="77777777" w:rsidR="00FE30EC" w:rsidRPr="00AF0575" w:rsidRDefault="00FE30EC" w:rsidP="00FE30EC">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F2CC"/>
            <w:vAlign w:val="center"/>
          </w:tcPr>
          <w:p w14:paraId="2579050A" w14:textId="77777777" w:rsidR="00FE30EC" w:rsidRPr="00AF0575" w:rsidRDefault="00FE30EC" w:rsidP="00FE30EC">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F2CC"/>
            <w:vAlign w:val="center"/>
          </w:tcPr>
          <w:p w14:paraId="2EC318F1" w14:textId="77777777" w:rsidR="00FE30EC" w:rsidRPr="00AF0575" w:rsidRDefault="00FE30EC" w:rsidP="00FE30EC">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0DA093E5" w14:textId="22DB0339" w:rsidR="00FE30EC" w:rsidRPr="00AF0575" w:rsidRDefault="00FE30EC" w:rsidP="00FE30EC">
            <w:pPr>
              <w:tabs>
                <w:tab w:val="clear" w:pos="0"/>
              </w:tabs>
              <w:spacing w:before="0"/>
              <w:jc w:val="center"/>
              <w:rPr>
                <w:rFonts w:cs="Calibri"/>
                <w:b/>
                <w:bCs/>
              </w:rPr>
            </w:pPr>
            <w:r w:rsidRPr="00AF0575">
              <w:rPr>
                <w:rFonts w:cs="Calibri"/>
                <w:b/>
                <w:bCs/>
              </w:rPr>
              <w:t>Explore the viability of hosting a data centre at the Life Centre swimming pool to reduce gas consumption.</w:t>
            </w:r>
          </w:p>
        </w:tc>
        <w:tc>
          <w:tcPr>
            <w:tcW w:w="0" w:type="auto"/>
            <w:tcBorders>
              <w:top w:val="single" w:sz="4" w:space="0" w:color="auto"/>
              <w:left w:val="nil"/>
              <w:bottom w:val="single" w:sz="4" w:space="0" w:color="auto"/>
              <w:right w:val="single" w:sz="4" w:space="0" w:color="auto"/>
            </w:tcBorders>
            <w:shd w:val="clear" w:color="auto" w:fill="E2EFDA"/>
            <w:vAlign w:val="center"/>
          </w:tcPr>
          <w:p w14:paraId="64567076" w14:textId="798EFFDE" w:rsidR="00FE30EC" w:rsidRPr="00AF0575" w:rsidRDefault="00FE30EC" w:rsidP="00FE30EC">
            <w:pPr>
              <w:tabs>
                <w:tab w:val="clear" w:pos="0"/>
              </w:tabs>
              <w:spacing w:before="0"/>
              <w:jc w:val="center"/>
              <w:rPr>
                <w:rFonts w:cs="Calibri"/>
                <w:b/>
                <w:bCs/>
                <w:sz w:val="22"/>
                <w:szCs w:val="22"/>
              </w:rPr>
            </w:pPr>
            <w:r w:rsidRPr="00AF0575">
              <w:rPr>
                <w:rFonts w:cs="Calibri"/>
                <w:b/>
                <w:bCs/>
                <w:sz w:val="22"/>
                <w:szCs w:val="22"/>
              </w:rPr>
              <w:t>2025</w:t>
            </w:r>
            <w:r w:rsidR="00D31942">
              <w:rPr>
                <w:rFonts w:cs="Calibri"/>
                <w:b/>
                <w:bCs/>
                <w:sz w:val="22"/>
                <w:szCs w:val="22"/>
              </w:rPr>
              <w:t>-</w:t>
            </w:r>
            <w:r w:rsidRPr="00AF0575">
              <w:rPr>
                <w:rFonts w:cs="Calibri"/>
                <w:b/>
                <w:bCs/>
                <w:sz w:val="22"/>
                <w:szCs w:val="22"/>
              </w:rPr>
              <w:t>2</w:t>
            </w:r>
            <w:r w:rsidR="007518EE">
              <w:rPr>
                <w:rFonts w:cs="Calibri"/>
                <w:b/>
                <w:bCs/>
                <w:sz w:val="22"/>
                <w:szCs w:val="22"/>
              </w:rPr>
              <w:t>8</w:t>
            </w:r>
          </w:p>
        </w:tc>
        <w:tc>
          <w:tcPr>
            <w:tcW w:w="0" w:type="auto"/>
            <w:tcBorders>
              <w:top w:val="single" w:sz="4" w:space="0" w:color="auto"/>
              <w:left w:val="nil"/>
              <w:bottom w:val="single" w:sz="4" w:space="0" w:color="auto"/>
              <w:right w:val="single" w:sz="4" w:space="0" w:color="auto"/>
            </w:tcBorders>
            <w:shd w:val="clear" w:color="auto" w:fill="E2EFDA"/>
            <w:vAlign w:val="center"/>
          </w:tcPr>
          <w:p w14:paraId="63254884" w14:textId="3E34F6C3" w:rsidR="00FE30EC" w:rsidRPr="00AF0575" w:rsidRDefault="00FE30EC" w:rsidP="00D90B48">
            <w:pPr>
              <w:tabs>
                <w:tab w:val="clear" w:pos="0"/>
              </w:tabs>
              <w:spacing w:before="0"/>
              <w:jc w:val="center"/>
              <w:rPr>
                <w:rFonts w:cs="Calibri"/>
                <w:sz w:val="22"/>
                <w:szCs w:val="22"/>
              </w:rPr>
            </w:pPr>
            <w:r w:rsidRPr="00AF0575">
              <w:rPr>
                <w:rFonts w:cs="Calibri"/>
                <w:sz w:val="22"/>
                <w:szCs w:val="22"/>
              </w:rPr>
              <w:t>Director of Public Health</w:t>
            </w:r>
          </w:p>
        </w:tc>
      </w:tr>
      <w:tr w:rsidR="00AB54E4" w:rsidRPr="00AF0575" w14:paraId="06F35593"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E699"/>
            <w:vAlign w:val="center"/>
          </w:tcPr>
          <w:p w14:paraId="64FFFAEA" w14:textId="10EB5BC7" w:rsidR="00FE30EC" w:rsidRPr="00AF0575" w:rsidRDefault="00FE30EC" w:rsidP="00FE30EC">
            <w:pPr>
              <w:tabs>
                <w:tab w:val="clear" w:pos="0"/>
              </w:tabs>
              <w:spacing w:before="0"/>
              <w:jc w:val="center"/>
              <w:rPr>
                <w:rFonts w:cs="Calibri"/>
                <w:sz w:val="22"/>
                <w:szCs w:val="22"/>
              </w:rPr>
            </w:pPr>
            <w:r w:rsidRPr="00AF0575">
              <w:rPr>
                <w:rFonts w:cs="Calibri"/>
                <w:sz w:val="22"/>
                <w:szCs w:val="22"/>
              </w:rPr>
              <w:t>Buildings, Heat and Power</w:t>
            </w:r>
          </w:p>
        </w:tc>
        <w:tc>
          <w:tcPr>
            <w:tcW w:w="0" w:type="auto"/>
            <w:vMerge w:val="restart"/>
            <w:tcBorders>
              <w:top w:val="single" w:sz="4" w:space="0" w:color="auto"/>
              <w:left w:val="nil"/>
              <w:right w:val="single" w:sz="4" w:space="0" w:color="auto"/>
            </w:tcBorders>
            <w:shd w:val="clear" w:color="auto" w:fill="FFE699"/>
            <w:vAlign w:val="center"/>
          </w:tcPr>
          <w:p w14:paraId="4B49D9EB" w14:textId="0592B681" w:rsidR="00FE30EC" w:rsidRPr="00AF0575" w:rsidRDefault="00FE30EC" w:rsidP="00FE30EC">
            <w:pPr>
              <w:tabs>
                <w:tab w:val="clear" w:pos="0"/>
              </w:tabs>
              <w:spacing w:before="0"/>
              <w:jc w:val="center"/>
              <w:rPr>
                <w:rFonts w:cs="Calibri"/>
                <w:sz w:val="22"/>
                <w:szCs w:val="22"/>
              </w:rPr>
            </w:pPr>
            <w:r w:rsidRPr="00AF0575">
              <w:rPr>
                <w:rFonts w:cs="Calibri"/>
                <w:sz w:val="22"/>
                <w:szCs w:val="22"/>
              </w:rPr>
              <w:t>BHP3</w:t>
            </w:r>
          </w:p>
        </w:tc>
        <w:tc>
          <w:tcPr>
            <w:tcW w:w="621" w:type="pct"/>
            <w:vMerge w:val="restart"/>
            <w:tcBorders>
              <w:top w:val="single" w:sz="4" w:space="0" w:color="auto"/>
              <w:left w:val="nil"/>
              <w:right w:val="single" w:sz="4" w:space="0" w:color="auto"/>
            </w:tcBorders>
            <w:shd w:val="clear" w:color="auto" w:fill="FFE699"/>
            <w:vAlign w:val="center"/>
          </w:tcPr>
          <w:p w14:paraId="6B39F053" w14:textId="68702F07" w:rsidR="00FE30EC" w:rsidRPr="00AF0575" w:rsidRDefault="00FE30EC" w:rsidP="00FE30EC">
            <w:pPr>
              <w:tabs>
                <w:tab w:val="clear" w:pos="0"/>
              </w:tabs>
              <w:spacing w:before="0"/>
              <w:jc w:val="center"/>
              <w:rPr>
                <w:rFonts w:cs="Calibri"/>
                <w:sz w:val="22"/>
                <w:szCs w:val="22"/>
              </w:rPr>
            </w:pPr>
            <w:r w:rsidRPr="00AF0575">
              <w:rPr>
                <w:rFonts w:cs="Calibri"/>
                <w:sz w:val="22"/>
                <w:szCs w:val="22"/>
              </w:rPr>
              <w:t xml:space="preserve">Produce the equivalent of 70% of our 2023 </w:t>
            </w:r>
            <w:r w:rsidRPr="00AF0575">
              <w:rPr>
                <w:rFonts w:cs="Calibri"/>
                <w:sz w:val="22"/>
                <w:szCs w:val="22"/>
              </w:rPr>
              <w:lastRenderedPageBreak/>
              <w:t>electricity needs by 2026 using solar energy</w:t>
            </w:r>
          </w:p>
        </w:tc>
        <w:tc>
          <w:tcPr>
            <w:tcW w:w="915" w:type="pct"/>
            <w:vMerge w:val="restart"/>
            <w:tcBorders>
              <w:top w:val="single" w:sz="4" w:space="0" w:color="auto"/>
              <w:left w:val="nil"/>
              <w:right w:val="single" w:sz="4" w:space="0" w:color="auto"/>
            </w:tcBorders>
            <w:shd w:val="clear" w:color="auto" w:fill="FFE699"/>
            <w:vAlign w:val="center"/>
          </w:tcPr>
          <w:p w14:paraId="28C585D5" w14:textId="0A0CF66E" w:rsidR="00FE30EC" w:rsidRPr="00AF0575" w:rsidRDefault="00FE30EC" w:rsidP="00FE30EC">
            <w:pPr>
              <w:tabs>
                <w:tab w:val="clear" w:pos="0"/>
              </w:tabs>
              <w:spacing w:before="0"/>
              <w:jc w:val="center"/>
              <w:rPr>
                <w:rFonts w:cs="Calibri"/>
                <w:sz w:val="22"/>
                <w:szCs w:val="22"/>
              </w:rPr>
            </w:pPr>
            <w:r w:rsidRPr="00AF0575">
              <w:rPr>
                <w:rFonts w:cs="Calibri"/>
                <w:sz w:val="22"/>
                <w:szCs w:val="22"/>
              </w:rPr>
              <w:lastRenderedPageBreak/>
              <w:t>Shift our electricity consumption to renewable energy</w:t>
            </w:r>
          </w:p>
        </w:tc>
        <w:tc>
          <w:tcPr>
            <w:tcW w:w="1780" w:type="pct"/>
            <w:tcBorders>
              <w:top w:val="single" w:sz="4" w:space="0" w:color="auto"/>
              <w:left w:val="nil"/>
              <w:bottom w:val="single" w:sz="4" w:space="0" w:color="auto"/>
              <w:right w:val="single" w:sz="4" w:space="0" w:color="auto"/>
            </w:tcBorders>
            <w:shd w:val="clear" w:color="auto" w:fill="FFE699"/>
            <w:vAlign w:val="center"/>
          </w:tcPr>
          <w:p w14:paraId="3CAC0296" w14:textId="08A435A6" w:rsidR="008A7180" w:rsidRPr="00314F6C" w:rsidRDefault="00FE30EC" w:rsidP="00314F6C">
            <w:pPr>
              <w:tabs>
                <w:tab w:val="clear" w:pos="0"/>
              </w:tabs>
              <w:spacing w:before="0"/>
              <w:jc w:val="center"/>
              <w:rPr>
                <w:rFonts w:cs="Calibri"/>
                <w:b/>
                <w:bCs/>
              </w:rPr>
            </w:pPr>
            <w:r w:rsidRPr="00AF0575">
              <w:rPr>
                <w:rFonts w:cs="Calibri"/>
                <w:b/>
                <w:bCs/>
              </w:rPr>
              <w:t>Deliver a solar farm at Chelson Meadow.</w:t>
            </w:r>
          </w:p>
        </w:tc>
        <w:tc>
          <w:tcPr>
            <w:tcW w:w="0" w:type="auto"/>
            <w:tcBorders>
              <w:top w:val="single" w:sz="4" w:space="0" w:color="auto"/>
              <w:left w:val="nil"/>
              <w:bottom w:val="single" w:sz="4" w:space="0" w:color="auto"/>
              <w:right w:val="single" w:sz="4" w:space="0" w:color="auto"/>
            </w:tcBorders>
            <w:shd w:val="clear" w:color="auto" w:fill="FFE699"/>
            <w:vAlign w:val="center"/>
          </w:tcPr>
          <w:p w14:paraId="2DEC15E7" w14:textId="76F478EC" w:rsidR="008A7180" w:rsidRPr="00F6694C" w:rsidRDefault="00FE30EC" w:rsidP="00F6694C">
            <w:pPr>
              <w:tabs>
                <w:tab w:val="clear" w:pos="0"/>
              </w:tabs>
              <w:spacing w:before="0"/>
              <w:jc w:val="center"/>
              <w:rPr>
                <w:rFonts w:cs="Calibri"/>
                <w:b/>
                <w:bCs/>
                <w:sz w:val="22"/>
                <w:szCs w:val="22"/>
              </w:rPr>
            </w:pPr>
            <w:r w:rsidRPr="00AF0575">
              <w:rPr>
                <w:rFonts w:cs="Calibri"/>
                <w:b/>
                <w:bCs/>
                <w:sz w:val="22"/>
                <w:szCs w:val="22"/>
              </w:rPr>
              <w:t>2025-27</w:t>
            </w:r>
          </w:p>
        </w:tc>
        <w:tc>
          <w:tcPr>
            <w:tcW w:w="0" w:type="auto"/>
            <w:tcBorders>
              <w:top w:val="single" w:sz="4" w:space="0" w:color="auto"/>
              <w:left w:val="nil"/>
              <w:bottom w:val="single" w:sz="4" w:space="0" w:color="auto"/>
              <w:right w:val="single" w:sz="4" w:space="0" w:color="auto"/>
            </w:tcBorders>
            <w:shd w:val="clear" w:color="auto" w:fill="FFE699"/>
            <w:vAlign w:val="center"/>
          </w:tcPr>
          <w:p w14:paraId="5510F77D" w14:textId="01E522D0" w:rsidR="008A7180" w:rsidRPr="00F6694C" w:rsidRDefault="00FE30EC" w:rsidP="00D90B48">
            <w:pPr>
              <w:tabs>
                <w:tab w:val="clear" w:pos="0"/>
              </w:tabs>
              <w:spacing w:before="0"/>
              <w:jc w:val="center"/>
              <w:rPr>
                <w:rFonts w:cs="Calibri"/>
                <w:sz w:val="22"/>
                <w:szCs w:val="22"/>
              </w:rPr>
            </w:pPr>
            <w:r w:rsidRPr="00AF0575">
              <w:rPr>
                <w:rFonts w:cs="Calibri"/>
                <w:sz w:val="22"/>
                <w:szCs w:val="22"/>
              </w:rPr>
              <w:t>Interim</w:t>
            </w:r>
            <w:r w:rsidR="00855B41">
              <w:rPr>
                <w:rFonts w:cs="Calibri"/>
                <w:sz w:val="22"/>
                <w:szCs w:val="22"/>
              </w:rPr>
              <w:t xml:space="preserve"> Strategic</w:t>
            </w:r>
            <w:r w:rsidRPr="00AF0575">
              <w:rPr>
                <w:rFonts w:cs="Calibri"/>
                <w:sz w:val="22"/>
                <w:szCs w:val="22"/>
              </w:rPr>
              <w:t xml:space="preserve"> Director for Growth</w:t>
            </w:r>
          </w:p>
        </w:tc>
      </w:tr>
      <w:tr w:rsidR="00AB54E4" w:rsidRPr="00AF0575" w14:paraId="00C9F853"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40268FBD" w14:textId="5983AB7D" w:rsidR="00FE30EC" w:rsidRPr="00AF0575" w:rsidRDefault="00FE30EC" w:rsidP="00FE30EC">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22652D5D" w14:textId="2B56C6FC" w:rsidR="00FE30EC" w:rsidRPr="00AF0575" w:rsidRDefault="00FE30EC" w:rsidP="00FE30EC">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1E8A0B40" w14:textId="3B1C6C97" w:rsidR="00FE30EC" w:rsidRPr="00AF0575" w:rsidRDefault="00FE30EC" w:rsidP="00FE30EC">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30DE4E26" w14:textId="4C7EBBCA" w:rsidR="00FE30EC" w:rsidRPr="00AF0575" w:rsidRDefault="00FE30EC" w:rsidP="00FE30EC">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5B68CE9C" w14:textId="5C45BED6" w:rsidR="008A7180" w:rsidRPr="00314F6C" w:rsidRDefault="00FE30EC" w:rsidP="00314F6C">
            <w:pPr>
              <w:tabs>
                <w:tab w:val="clear" w:pos="0"/>
              </w:tabs>
              <w:spacing w:before="0"/>
              <w:jc w:val="center"/>
              <w:rPr>
                <w:rFonts w:cs="Calibri"/>
                <w:b/>
                <w:bCs/>
              </w:rPr>
            </w:pPr>
            <w:r w:rsidRPr="00AF0575">
              <w:rPr>
                <w:rFonts w:cs="Calibri"/>
                <w:b/>
                <w:bCs/>
              </w:rPr>
              <w:t>Maximise the opportunities for installing solar panels on more of our own assets and pursue funding opportunities to do so wherever possible</w:t>
            </w:r>
            <w:r>
              <w:rPr>
                <w:rFonts w:cs="Calibri"/>
                <w:b/>
                <w:bCs/>
              </w:rPr>
              <w:t>.</w:t>
            </w:r>
          </w:p>
        </w:tc>
        <w:tc>
          <w:tcPr>
            <w:tcW w:w="0" w:type="auto"/>
            <w:tcBorders>
              <w:top w:val="single" w:sz="4" w:space="0" w:color="auto"/>
              <w:left w:val="nil"/>
              <w:bottom w:val="single" w:sz="4" w:space="0" w:color="auto"/>
              <w:right w:val="single" w:sz="4" w:space="0" w:color="auto"/>
            </w:tcBorders>
            <w:shd w:val="clear" w:color="auto" w:fill="FFE699"/>
            <w:vAlign w:val="center"/>
          </w:tcPr>
          <w:p w14:paraId="5ECB2976" w14:textId="3142491C" w:rsidR="00FE30EC" w:rsidRPr="00AF0575" w:rsidRDefault="00FE30EC" w:rsidP="00FE30EC">
            <w:pPr>
              <w:tabs>
                <w:tab w:val="clear" w:pos="0"/>
              </w:tabs>
              <w:spacing w:before="0"/>
              <w:jc w:val="center"/>
              <w:rPr>
                <w:rFonts w:cs="Calibri"/>
                <w:b/>
                <w:bCs/>
                <w:sz w:val="22"/>
                <w:szCs w:val="22"/>
              </w:rPr>
            </w:pPr>
            <w:r w:rsidRPr="00AF0575">
              <w:rPr>
                <w:rFonts w:cs="Calibri"/>
                <w:b/>
                <w:bCs/>
                <w:sz w:val="22"/>
                <w:szCs w:val="22"/>
              </w:rPr>
              <w:t xml:space="preserve"> 2025-28</w:t>
            </w:r>
          </w:p>
        </w:tc>
        <w:tc>
          <w:tcPr>
            <w:tcW w:w="0" w:type="auto"/>
            <w:tcBorders>
              <w:top w:val="single" w:sz="4" w:space="0" w:color="auto"/>
              <w:left w:val="nil"/>
              <w:bottom w:val="single" w:sz="4" w:space="0" w:color="auto"/>
              <w:right w:val="single" w:sz="4" w:space="0" w:color="auto"/>
            </w:tcBorders>
            <w:shd w:val="clear" w:color="auto" w:fill="FFE699"/>
            <w:vAlign w:val="center"/>
          </w:tcPr>
          <w:p w14:paraId="33027833" w14:textId="3285A342" w:rsidR="00FE30EC" w:rsidRPr="00AF0575" w:rsidRDefault="00D90B48" w:rsidP="00D90B48">
            <w:pPr>
              <w:tabs>
                <w:tab w:val="clear" w:pos="0"/>
              </w:tabs>
              <w:spacing w:before="0"/>
              <w:jc w:val="center"/>
              <w:rPr>
                <w:rFonts w:cs="Calibri"/>
                <w:sz w:val="22"/>
                <w:szCs w:val="22"/>
              </w:rPr>
            </w:pPr>
            <w:r w:rsidRPr="00AF0575">
              <w:rPr>
                <w:rFonts w:cs="Calibri"/>
                <w:sz w:val="22"/>
                <w:szCs w:val="22"/>
              </w:rPr>
              <w:t>Interim</w:t>
            </w:r>
            <w:r>
              <w:rPr>
                <w:rFonts w:cs="Calibri"/>
                <w:sz w:val="22"/>
                <w:szCs w:val="22"/>
              </w:rPr>
              <w:t xml:space="preserve"> Strategic</w:t>
            </w:r>
            <w:r w:rsidRPr="00AF0575">
              <w:rPr>
                <w:rFonts w:cs="Calibri"/>
                <w:sz w:val="22"/>
                <w:szCs w:val="22"/>
              </w:rPr>
              <w:t xml:space="preserve"> Director for Growth</w:t>
            </w:r>
          </w:p>
        </w:tc>
      </w:tr>
      <w:tr w:rsidR="00AB54E4" w:rsidRPr="00AF0575" w14:paraId="10D70115"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E699"/>
            <w:vAlign w:val="center"/>
          </w:tcPr>
          <w:p w14:paraId="5F4839AE" w14:textId="77777777" w:rsidR="00FE30EC" w:rsidRPr="00AF0575" w:rsidRDefault="00FE30EC" w:rsidP="00FE30EC">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E699"/>
            <w:vAlign w:val="center"/>
          </w:tcPr>
          <w:p w14:paraId="70D9A485" w14:textId="77777777" w:rsidR="00FE30EC" w:rsidRPr="00AF0575" w:rsidRDefault="00FE30EC" w:rsidP="00FE30EC">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E699"/>
            <w:vAlign w:val="center"/>
          </w:tcPr>
          <w:p w14:paraId="68898597" w14:textId="77777777" w:rsidR="00FE30EC" w:rsidRPr="00AF0575" w:rsidRDefault="00FE30EC" w:rsidP="00FE30EC">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E699"/>
            <w:vAlign w:val="center"/>
          </w:tcPr>
          <w:p w14:paraId="7ED6D4AF" w14:textId="77777777" w:rsidR="00FE30EC" w:rsidRPr="00AF0575" w:rsidRDefault="00FE30EC" w:rsidP="00FE30EC">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12AA2DD2" w14:textId="44C9C166" w:rsidR="008A7180" w:rsidRPr="00314F6C" w:rsidRDefault="00FE30EC" w:rsidP="00314F6C">
            <w:pPr>
              <w:tabs>
                <w:tab w:val="clear" w:pos="0"/>
              </w:tabs>
              <w:spacing w:before="0"/>
              <w:jc w:val="center"/>
              <w:rPr>
                <w:rFonts w:cs="Calibri"/>
                <w:b/>
                <w:bCs/>
              </w:rPr>
            </w:pPr>
            <w:r w:rsidRPr="00AF0575">
              <w:rPr>
                <w:rFonts w:cs="Calibri"/>
                <w:b/>
                <w:bCs/>
              </w:rPr>
              <w:t>Purchase renewable electricity from the proposed Chelson Meadow solar farm for a proportion of our activities and explore the options to purchase renewable electricity for the remainder</w:t>
            </w:r>
            <w:r>
              <w:rPr>
                <w:rFonts w:cs="Calibri"/>
                <w:b/>
                <w:bCs/>
              </w:rPr>
              <w:t>.</w:t>
            </w:r>
          </w:p>
        </w:tc>
        <w:tc>
          <w:tcPr>
            <w:tcW w:w="0" w:type="auto"/>
            <w:tcBorders>
              <w:top w:val="single" w:sz="4" w:space="0" w:color="auto"/>
              <w:left w:val="nil"/>
              <w:bottom w:val="single" w:sz="4" w:space="0" w:color="auto"/>
              <w:right w:val="single" w:sz="4" w:space="0" w:color="auto"/>
            </w:tcBorders>
            <w:shd w:val="clear" w:color="auto" w:fill="FFE699"/>
            <w:vAlign w:val="center"/>
          </w:tcPr>
          <w:p w14:paraId="25AC88AA" w14:textId="255AD46A" w:rsidR="00FE30EC" w:rsidRPr="00AF0575" w:rsidRDefault="00FE30EC" w:rsidP="00FE30EC">
            <w:pPr>
              <w:tabs>
                <w:tab w:val="clear" w:pos="0"/>
              </w:tabs>
              <w:spacing w:before="0"/>
              <w:jc w:val="center"/>
              <w:rPr>
                <w:rFonts w:cs="Calibri"/>
                <w:b/>
                <w:bCs/>
                <w:sz w:val="22"/>
                <w:szCs w:val="22"/>
              </w:rPr>
            </w:pPr>
            <w:r w:rsidRPr="00AF0575">
              <w:rPr>
                <w:rFonts w:cs="Calibri"/>
                <w:b/>
                <w:bCs/>
                <w:sz w:val="22"/>
                <w:szCs w:val="22"/>
              </w:rPr>
              <w:t>2026/27</w:t>
            </w:r>
          </w:p>
        </w:tc>
        <w:tc>
          <w:tcPr>
            <w:tcW w:w="0" w:type="auto"/>
            <w:tcBorders>
              <w:top w:val="single" w:sz="4" w:space="0" w:color="auto"/>
              <w:left w:val="nil"/>
              <w:bottom w:val="single" w:sz="4" w:space="0" w:color="auto"/>
              <w:right w:val="single" w:sz="4" w:space="0" w:color="auto"/>
            </w:tcBorders>
            <w:shd w:val="clear" w:color="auto" w:fill="FFE699"/>
            <w:vAlign w:val="center"/>
          </w:tcPr>
          <w:p w14:paraId="67039E26" w14:textId="22CFA78E" w:rsidR="00B36EEE" w:rsidRPr="00F6694C" w:rsidRDefault="00FE30EC" w:rsidP="00D90B48">
            <w:pPr>
              <w:tabs>
                <w:tab w:val="clear" w:pos="0"/>
              </w:tabs>
              <w:spacing w:before="0"/>
              <w:jc w:val="center"/>
              <w:rPr>
                <w:rFonts w:cs="Calibri"/>
                <w:sz w:val="22"/>
                <w:szCs w:val="22"/>
              </w:rPr>
            </w:pPr>
            <w:r w:rsidRPr="00AF0575">
              <w:rPr>
                <w:rFonts w:cs="Calibri"/>
                <w:sz w:val="22"/>
                <w:szCs w:val="22"/>
              </w:rPr>
              <w:t>Interim Chief Operating Office</w:t>
            </w:r>
            <w:r w:rsidR="001365F7">
              <w:rPr>
                <w:rFonts w:cs="Calibri"/>
                <w:sz w:val="22"/>
                <w:szCs w:val="22"/>
              </w:rPr>
              <w:t>r</w:t>
            </w:r>
          </w:p>
        </w:tc>
      </w:tr>
      <w:tr w:rsidR="00314F6C" w:rsidRPr="00AF0575" w14:paraId="067B8E4A"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F2CC"/>
            <w:vAlign w:val="center"/>
          </w:tcPr>
          <w:p w14:paraId="23513DF9" w14:textId="4FA815CA" w:rsidR="00314F6C" w:rsidRPr="00AF0575" w:rsidRDefault="00314F6C" w:rsidP="00B36EEE">
            <w:pPr>
              <w:numPr>
                <w:ilvl w:val="0"/>
                <w:numId w:val="0"/>
              </w:numPr>
              <w:spacing w:before="0"/>
              <w:jc w:val="center"/>
              <w:rPr>
                <w:rFonts w:cs="Calibri"/>
                <w:sz w:val="22"/>
                <w:szCs w:val="22"/>
              </w:rPr>
            </w:pPr>
            <w:r w:rsidRPr="00AF0575">
              <w:rPr>
                <w:rFonts w:cs="Calibri"/>
                <w:sz w:val="22"/>
                <w:szCs w:val="22"/>
              </w:rPr>
              <w:t>Buildings, Heat and Power</w:t>
            </w:r>
          </w:p>
        </w:tc>
        <w:tc>
          <w:tcPr>
            <w:tcW w:w="0" w:type="auto"/>
            <w:vMerge w:val="restart"/>
            <w:tcBorders>
              <w:top w:val="single" w:sz="4" w:space="0" w:color="auto"/>
              <w:left w:val="nil"/>
              <w:right w:val="single" w:sz="4" w:space="0" w:color="auto"/>
            </w:tcBorders>
            <w:shd w:val="clear" w:color="auto" w:fill="FFF2CC"/>
            <w:vAlign w:val="center"/>
          </w:tcPr>
          <w:p w14:paraId="7EC34DE6" w14:textId="7E58B9ED" w:rsidR="00314F6C" w:rsidRPr="00AF0575" w:rsidRDefault="00314F6C" w:rsidP="00B36EEE">
            <w:pPr>
              <w:numPr>
                <w:ilvl w:val="0"/>
                <w:numId w:val="0"/>
              </w:numPr>
              <w:spacing w:before="0"/>
              <w:jc w:val="center"/>
              <w:rPr>
                <w:rFonts w:cs="Calibri"/>
                <w:sz w:val="22"/>
                <w:szCs w:val="22"/>
              </w:rPr>
            </w:pPr>
            <w:r w:rsidRPr="00AF0575">
              <w:rPr>
                <w:rFonts w:cs="Calibri"/>
                <w:sz w:val="22"/>
                <w:szCs w:val="22"/>
              </w:rPr>
              <w:t>BHP4</w:t>
            </w:r>
          </w:p>
        </w:tc>
        <w:tc>
          <w:tcPr>
            <w:tcW w:w="621" w:type="pct"/>
            <w:vMerge w:val="restart"/>
            <w:tcBorders>
              <w:top w:val="single" w:sz="4" w:space="0" w:color="auto"/>
              <w:left w:val="nil"/>
              <w:right w:val="single" w:sz="4" w:space="0" w:color="auto"/>
            </w:tcBorders>
            <w:shd w:val="clear" w:color="auto" w:fill="FFF2CC"/>
            <w:vAlign w:val="center"/>
          </w:tcPr>
          <w:p w14:paraId="420126C5" w14:textId="77777777" w:rsidR="00314F6C" w:rsidRDefault="00314F6C" w:rsidP="00B36EEE">
            <w:pPr>
              <w:numPr>
                <w:ilvl w:val="0"/>
                <w:numId w:val="0"/>
              </w:numPr>
              <w:spacing w:before="0"/>
              <w:jc w:val="center"/>
              <w:rPr>
                <w:rFonts w:cs="Calibri"/>
                <w:sz w:val="22"/>
                <w:szCs w:val="22"/>
              </w:rPr>
            </w:pPr>
          </w:p>
          <w:p w14:paraId="25906598" w14:textId="1734071A" w:rsidR="00314F6C" w:rsidRPr="00AF0575" w:rsidRDefault="00314F6C" w:rsidP="00B36EEE">
            <w:pPr>
              <w:numPr>
                <w:ilvl w:val="0"/>
                <w:numId w:val="0"/>
              </w:numPr>
              <w:spacing w:before="0"/>
              <w:jc w:val="center"/>
              <w:rPr>
                <w:rFonts w:cs="Calibri"/>
                <w:sz w:val="22"/>
                <w:szCs w:val="22"/>
              </w:rPr>
            </w:pPr>
            <w:r w:rsidRPr="00AF0575">
              <w:rPr>
                <w:rFonts w:cs="Calibri"/>
                <w:sz w:val="22"/>
                <w:szCs w:val="22"/>
              </w:rPr>
              <w:t>Achieve a 40% reduction in energy consumption for street lighting by 2026 (based on 2021 energy consumption figures)</w:t>
            </w:r>
          </w:p>
        </w:tc>
        <w:tc>
          <w:tcPr>
            <w:tcW w:w="915" w:type="pct"/>
            <w:vMerge w:val="restart"/>
            <w:tcBorders>
              <w:top w:val="single" w:sz="4" w:space="0" w:color="auto"/>
              <w:left w:val="nil"/>
              <w:right w:val="single" w:sz="4" w:space="0" w:color="auto"/>
            </w:tcBorders>
            <w:shd w:val="clear" w:color="auto" w:fill="FFF2CC"/>
            <w:vAlign w:val="center"/>
          </w:tcPr>
          <w:p w14:paraId="2F964792" w14:textId="67D9CFF6" w:rsidR="00314F6C" w:rsidRPr="00AF0575" w:rsidRDefault="00314F6C" w:rsidP="00B36EEE">
            <w:pPr>
              <w:numPr>
                <w:ilvl w:val="0"/>
                <w:numId w:val="0"/>
              </w:numPr>
              <w:spacing w:before="0"/>
              <w:jc w:val="center"/>
              <w:rPr>
                <w:rFonts w:cs="Calibri"/>
                <w:sz w:val="22"/>
                <w:szCs w:val="22"/>
              </w:rPr>
            </w:pPr>
            <w:r w:rsidRPr="00AF0575">
              <w:rPr>
                <w:rFonts w:cs="Calibri"/>
                <w:sz w:val="22"/>
                <w:szCs w:val="22"/>
              </w:rPr>
              <w:t>Reduce the energy consumption needed to operate the public highway</w:t>
            </w:r>
          </w:p>
        </w:tc>
        <w:tc>
          <w:tcPr>
            <w:tcW w:w="1780" w:type="pct"/>
            <w:tcBorders>
              <w:top w:val="single" w:sz="4" w:space="0" w:color="auto"/>
              <w:left w:val="nil"/>
              <w:bottom w:val="single" w:sz="4" w:space="0" w:color="auto"/>
              <w:right w:val="single" w:sz="4" w:space="0" w:color="auto"/>
            </w:tcBorders>
            <w:shd w:val="clear" w:color="auto" w:fill="FFF2CC"/>
            <w:vAlign w:val="center"/>
          </w:tcPr>
          <w:p w14:paraId="33446D3A" w14:textId="28ECDAA6" w:rsidR="00314F6C" w:rsidRPr="00AF0575" w:rsidRDefault="00314F6C" w:rsidP="00B36EEE">
            <w:pPr>
              <w:numPr>
                <w:ilvl w:val="0"/>
                <w:numId w:val="0"/>
              </w:numPr>
              <w:spacing w:before="0"/>
              <w:jc w:val="center"/>
              <w:rPr>
                <w:rFonts w:cs="Calibri"/>
                <w:b/>
                <w:bCs/>
              </w:rPr>
            </w:pPr>
            <w:r w:rsidRPr="00AF0575">
              <w:rPr>
                <w:rFonts w:cs="Calibri"/>
                <w:b/>
                <w:bCs/>
              </w:rPr>
              <w:t xml:space="preserve">Implement a new system of improved control and management of street lighting where permissible. </w:t>
            </w:r>
          </w:p>
        </w:tc>
        <w:tc>
          <w:tcPr>
            <w:tcW w:w="0" w:type="auto"/>
            <w:tcBorders>
              <w:top w:val="single" w:sz="4" w:space="0" w:color="auto"/>
              <w:left w:val="nil"/>
              <w:bottom w:val="single" w:sz="4" w:space="0" w:color="auto"/>
              <w:right w:val="single" w:sz="4" w:space="0" w:color="auto"/>
            </w:tcBorders>
            <w:shd w:val="clear" w:color="auto" w:fill="FFF2CC"/>
            <w:vAlign w:val="center"/>
          </w:tcPr>
          <w:p w14:paraId="631F24F5" w14:textId="12BBBF94" w:rsidR="00314F6C" w:rsidRPr="00AF0575" w:rsidRDefault="00314F6C" w:rsidP="00B36EEE">
            <w:pPr>
              <w:numPr>
                <w:ilvl w:val="0"/>
                <w:numId w:val="0"/>
              </w:numPr>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FFF2CC"/>
            <w:vAlign w:val="center"/>
          </w:tcPr>
          <w:p w14:paraId="3CD9B182" w14:textId="435F0BFF" w:rsidR="00314F6C" w:rsidRPr="00AF0575" w:rsidRDefault="00D90B48" w:rsidP="00D90B48">
            <w:pPr>
              <w:numPr>
                <w:ilvl w:val="0"/>
                <w:numId w:val="0"/>
              </w:numPr>
              <w:spacing w:before="0"/>
              <w:jc w:val="center"/>
              <w:rPr>
                <w:rFonts w:cs="Calibri"/>
                <w:sz w:val="22"/>
                <w:szCs w:val="22"/>
              </w:rPr>
            </w:pPr>
            <w:r w:rsidRPr="00AF0575">
              <w:rPr>
                <w:rFonts w:cs="Calibri"/>
                <w:sz w:val="22"/>
                <w:szCs w:val="22"/>
              </w:rPr>
              <w:t>Interim</w:t>
            </w:r>
            <w:r>
              <w:rPr>
                <w:rFonts w:cs="Calibri"/>
                <w:sz w:val="22"/>
                <w:szCs w:val="22"/>
              </w:rPr>
              <w:t xml:space="preserve"> Strategic</w:t>
            </w:r>
            <w:r w:rsidRPr="00AF0575">
              <w:rPr>
                <w:rFonts w:cs="Calibri"/>
                <w:sz w:val="22"/>
                <w:szCs w:val="22"/>
              </w:rPr>
              <w:t xml:space="preserve"> Director for Growth</w:t>
            </w:r>
          </w:p>
        </w:tc>
      </w:tr>
      <w:tr w:rsidR="00314F6C" w:rsidRPr="00AF0575" w14:paraId="19A8EE5D"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F2CC"/>
            <w:vAlign w:val="center"/>
          </w:tcPr>
          <w:p w14:paraId="4D0E59FD" w14:textId="01C94A6C" w:rsidR="00314F6C" w:rsidRPr="00AF0575" w:rsidRDefault="00314F6C" w:rsidP="00B36EEE">
            <w:pPr>
              <w:numPr>
                <w:ilvl w:val="0"/>
                <w:numId w:val="0"/>
              </w:numPr>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F2CC"/>
            <w:vAlign w:val="center"/>
          </w:tcPr>
          <w:p w14:paraId="3A9F2616" w14:textId="2238D44C" w:rsidR="00314F6C" w:rsidRPr="00AF0575" w:rsidRDefault="00314F6C" w:rsidP="00B36EEE">
            <w:pPr>
              <w:numPr>
                <w:ilvl w:val="0"/>
                <w:numId w:val="0"/>
              </w:numPr>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F2CC"/>
            <w:vAlign w:val="center"/>
          </w:tcPr>
          <w:p w14:paraId="0684F868" w14:textId="793530E3" w:rsidR="00314F6C" w:rsidRPr="00AF0575" w:rsidRDefault="00314F6C" w:rsidP="00B36EEE">
            <w:pPr>
              <w:numPr>
                <w:ilvl w:val="0"/>
                <w:numId w:val="0"/>
              </w:numPr>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F2CC"/>
            <w:vAlign w:val="center"/>
          </w:tcPr>
          <w:p w14:paraId="363A5C2A" w14:textId="08A17E09" w:rsidR="00314F6C" w:rsidRPr="00AF0575" w:rsidRDefault="00314F6C" w:rsidP="00B36EEE">
            <w:pPr>
              <w:numPr>
                <w:ilvl w:val="0"/>
                <w:numId w:val="0"/>
              </w:numPr>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F2CC"/>
            <w:vAlign w:val="center"/>
          </w:tcPr>
          <w:p w14:paraId="268A4759" w14:textId="77777777" w:rsidR="00314F6C" w:rsidRDefault="00314F6C" w:rsidP="00B36EEE">
            <w:pPr>
              <w:numPr>
                <w:ilvl w:val="0"/>
                <w:numId w:val="0"/>
              </w:numPr>
              <w:spacing w:before="0"/>
              <w:jc w:val="center"/>
              <w:rPr>
                <w:rFonts w:cs="Calibri"/>
                <w:b/>
                <w:bCs/>
              </w:rPr>
            </w:pPr>
          </w:p>
          <w:p w14:paraId="07776D49" w14:textId="7553AFC0" w:rsidR="00314F6C" w:rsidRDefault="00314F6C" w:rsidP="00B36EEE">
            <w:pPr>
              <w:numPr>
                <w:ilvl w:val="0"/>
                <w:numId w:val="0"/>
              </w:numPr>
              <w:spacing w:before="0"/>
              <w:jc w:val="center"/>
              <w:rPr>
                <w:rFonts w:cs="Calibri"/>
                <w:b/>
                <w:bCs/>
              </w:rPr>
            </w:pPr>
            <w:r w:rsidRPr="00AF0575">
              <w:rPr>
                <w:rFonts w:cs="Calibri"/>
                <w:b/>
                <w:bCs/>
              </w:rPr>
              <w:t>Continue the programme of replacement of all illuminated traffic island bollards to more economical alternatives.</w:t>
            </w:r>
          </w:p>
          <w:p w14:paraId="77EE7B71" w14:textId="33639A9C" w:rsidR="00314F6C" w:rsidRPr="00AF0575" w:rsidRDefault="00314F6C" w:rsidP="00B36EEE">
            <w:pPr>
              <w:numPr>
                <w:ilvl w:val="0"/>
                <w:numId w:val="0"/>
              </w:numPr>
              <w:spacing w:before="0"/>
              <w:jc w:val="center"/>
              <w:rPr>
                <w:rFonts w:cs="Calibri"/>
                <w:b/>
                <w:bCs/>
              </w:rPr>
            </w:pPr>
          </w:p>
        </w:tc>
        <w:tc>
          <w:tcPr>
            <w:tcW w:w="0" w:type="auto"/>
            <w:tcBorders>
              <w:top w:val="single" w:sz="4" w:space="0" w:color="auto"/>
              <w:left w:val="nil"/>
              <w:bottom w:val="single" w:sz="4" w:space="0" w:color="auto"/>
              <w:right w:val="single" w:sz="4" w:space="0" w:color="auto"/>
            </w:tcBorders>
            <w:shd w:val="clear" w:color="auto" w:fill="FFF2CC"/>
            <w:vAlign w:val="center"/>
          </w:tcPr>
          <w:p w14:paraId="13028322" w14:textId="517E846D" w:rsidR="00314F6C" w:rsidRPr="00AF0575" w:rsidRDefault="00314F6C" w:rsidP="00B36EEE">
            <w:pPr>
              <w:numPr>
                <w:ilvl w:val="0"/>
                <w:numId w:val="0"/>
              </w:numPr>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F2CC"/>
            <w:vAlign w:val="center"/>
          </w:tcPr>
          <w:p w14:paraId="626D642D" w14:textId="54B9A4CA" w:rsidR="00314F6C" w:rsidRPr="00AF0575" w:rsidRDefault="00D90B48" w:rsidP="00D90B48">
            <w:pPr>
              <w:numPr>
                <w:ilvl w:val="0"/>
                <w:numId w:val="0"/>
              </w:numPr>
              <w:spacing w:before="0"/>
              <w:jc w:val="center"/>
              <w:rPr>
                <w:rFonts w:cs="Calibri"/>
                <w:sz w:val="22"/>
                <w:szCs w:val="22"/>
              </w:rPr>
            </w:pPr>
            <w:r w:rsidRPr="00AF0575">
              <w:rPr>
                <w:rFonts w:cs="Calibri"/>
                <w:sz w:val="22"/>
                <w:szCs w:val="22"/>
              </w:rPr>
              <w:t>Interim</w:t>
            </w:r>
            <w:r>
              <w:rPr>
                <w:rFonts w:cs="Calibri"/>
                <w:sz w:val="22"/>
                <w:szCs w:val="22"/>
              </w:rPr>
              <w:t xml:space="preserve"> Strategic</w:t>
            </w:r>
            <w:r w:rsidRPr="00AF0575">
              <w:rPr>
                <w:rFonts w:cs="Calibri"/>
                <w:sz w:val="22"/>
                <w:szCs w:val="22"/>
              </w:rPr>
              <w:t xml:space="preserve"> Director for Growth</w:t>
            </w:r>
          </w:p>
        </w:tc>
      </w:tr>
      <w:tr w:rsidR="00D90B48" w:rsidRPr="00AF0575" w14:paraId="3DE68E35"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E699"/>
            <w:vAlign w:val="center"/>
          </w:tcPr>
          <w:p w14:paraId="00CD1B5D" w14:textId="4156F3F9" w:rsidR="00D90B48" w:rsidRPr="00AF0575" w:rsidRDefault="00D90B48" w:rsidP="00D90B48">
            <w:pPr>
              <w:tabs>
                <w:tab w:val="clear" w:pos="0"/>
              </w:tabs>
              <w:spacing w:before="0"/>
              <w:jc w:val="center"/>
              <w:rPr>
                <w:rFonts w:cs="Calibri"/>
                <w:sz w:val="22"/>
                <w:szCs w:val="22"/>
              </w:rPr>
            </w:pPr>
            <w:r w:rsidRPr="00AF0575">
              <w:rPr>
                <w:rFonts w:cs="Calibri"/>
                <w:sz w:val="22"/>
                <w:szCs w:val="22"/>
              </w:rPr>
              <w:t>Buildings, Heat and Power</w:t>
            </w:r>
          </w:p>
        </w:tc>
        <w:tc>
          <w:tcPr>
            <w:tcW w:w="0" w:type="auto"/>
            <w:vMerge w:val="restart"/>
            <w:tcBorders>
              <w:top w:val="single" w:sz="4" w:space="0" w:color="auto"/>
              <w:left w:val="nil"/>
              <w:right w:val="single" w:sz="4" w:space="0" w:color="auto"/>
            </w:tcBorders>
            <w:shd w:val="clear" w:color="auto" w:fill="FFE699"/>
            <w:vAlign w:val="center"/>
          </w:tcPr>
          <w:p w14:paraId="579F6D64" w14:textId="3FDA6070" w:rsidR="00D90B48" w:rsidRPr="00AF0575" w:rsidRDefault="00D90B48" w:rsidP="00D90B48">
            <w:pPr>
              <w:tabs>
                <w:tab w:val="clear" w:pos="0"/>
              </w:tabs>
              <w:spacing w:before="0"/>
              <w:jc w:val="center"/>
              <w:rPr>
                <w:rFonts w:cs="Calibri"/>
                <w:sz w:val="22"/>
                <w:szCs w:val="22"/>
              </w:rPr>
            </w:pPr>
            <w:r w:rsidRPr="00AF0575">
              <w:rPr>
                <w:rFonts w:cs="Calibri"/>
                <w:sz w:val="22"/>
                <w:szCs w:val="22"/>
              </w:rPr>
              <w:t>BHP6</w:t>
            </w:r>
          </w:p>
        </w:tc>
        <w:tc>
          <w:tcPr>
            <w:tcW w:w="621" w:type="pct"/>
            <w:vMerge w:val="restart"/>
            <w:tcBorders>
              <w:top w:val="single" w:sz="4" w:space="0" w:color="auto"/>
              <w:left w:val="nil"/>
              <w:right w:val="single" w:sz="4" w:space="0" w:color="auto"/>
            </w:tcBorders>
            <w:shd w:val="clear" w:color="auto" w:fill="FFE699"/>
            <w:vAlign w:val="center"/>
          </w:tcPr>
          <w:p w14:paraId="1A346E6C" w14:textId="37B27F61" w:rsidR="00D90B48" w:rsidRPr="00AF0575" w:rsidRDefault="00D90B48" w:rsidP="00D90B48">
            <w:pPr>
              <w:tabs>
                <w:tab w:val="clear" w:pos="0"/>
              </w:tabs>
              <w:spacing w:before="0"/>
              <w:jc w:val="center"/>
              <w:rPr>
                <w:rFonts w:cs="Calibri"/>
                <w:sz w:val="22"/>
                <w:szCs w:val="22"/>
              </w:rPr>
            </w:pPr>
            <w:r w:rsidRPr="00AF0575">
              <w:rPr>
                <w:rFonts w:cs="Calibri"/>
                <w:sz w:val="22"/>
                <w:szCs w:val="22"/>
              </w:rPr>
              <w:t>Policy to guide our corporate construction activity is in place by end of 2025/26</w:t>
            </w:r>
          </w:p>
        </w:tc>
        <w:tc>
          <w:tcPr>
            <w:tcW w:w="915" w:type="pct"/>
            <w:vMerge w:val="restart"/>
            <w:tcBorders>
              <w:top w:val="single" w:sz="4" w:space="0" w:color="auto"/>
              <w:left w:val="nil"/>
              <w:right w:val="single" w:sz="4" w:space="0" w:color="auto"/>
            </w:tcBorders>
            <w:shd w:val="clear" w:color="auto" w:fill="FFE699"/>
            <w:vAlign w:val="center"/>
          </w:tcPr>
          <w:p w14:paraId="687CE30C" w14:textId="55CD8C25" w:rsidR="00D90B48" w:rsidRPr="00AF0575" w:rsidRDefault="00D90B48" w:rsidP="00D90B48">
            <w:pPr>
              <w:tabs>
                <w:tab w:val="clear" w:pos="0"/>
              </w:tabs>
              <w:spacing w:before="0"/>
              <w:jc w:val="center"/>
              <w:rPr>
                <w:rFonts w:cs="Calibri"/>
                <w:sz w:val="22"/>
                <w:szCs w:val="22"/>
              </w:rPr>
            </w:pPr>
            <w:r w:rsidRPr="00AF0575">
              <w:rPr>
                <w:rFonts w:cs="Calibri"/>
                <w:sz w:val="22"/>
                <w:szCs w:val="22"/>
              </w:rPr>
              <w:t>Strive to implement the highest possible standard of sustainability in the development of new council construction projects.</w:t>
            </w:r>
          </w:p>
        </w:tc>
        <w:tc>
          <w:tcPr>
            <w:tcW w:w="1780" w:type="pct"/>
            <w:tcBorders>
              <w:top w:val="single" w:sz="4" w:space="0" w:color="auto"/>
              <w:left w:val="nil"/>
              <w:bottom w:val="single" w:sz="4" w:space="0" w:color="auto"/>
              <w:right w:val="single" w:sz="4" w:space="0" w:color="auto"/>
            </w:tcBorders>
            <w:shd w:val="clear" w:color="auto" w:fill="FFE699"/>
            <w:vAlign w:val="center"/>
          </w:tcPr>
          <w:p w14:paraId="1A1F3DF2" w14:textId="560D0C34" w:rsidR="00D90B48" w:rsidRPr="00F6694C" w:rsidRDefault="00D90B48" w:rsidP="00D90B48">
            <w:pPr>
              <w:tabs>
                <w:tab w:val="clear" w:pos="0"/>
              </w:tabs>
              <w:spacing w:before="0"/>
              <w:jc w:val="center"/>
              <w:rPr>
                <w:rFonts w:cs="Calibri"/>
                <w:b/>
                <w:bCs/>
              </w:rPr>
            </w:pPr>
            <w:r w:rsidRPr="00AF0575">
              <w:rPr>
                <w:rFonts w:cs="Calibri"/>
                <w:b/>
                <w:bCs/>
              </w:rPr>
              <w:t>Develop a policy to guide how all corporate construction activity (buildings and infrastructure) is commissioned and delivered.</w:t>
            </w:r>
          </w:p>
        </w:tc>
        <w:tc>
          <w:tcPr>
            <w:tcW w:w="0" w:type="auto"/>
            <w:tcBorders>
              <w:top w:val="single" w:sz="4" w:space="0" w:color="auto"/>
              <w:left w:val="nil"/>
              <w:bottom w:val="single" w:sz="4" w:space="0" w:color="auto"/>
              <w:right w:val="single" w:sz="4" w:space="0" w:color="auto"/>
            </w:tcBorders>
            <w:shd w:val="clear" w:color="auto" w:fill="FFE699"/>
            <w:vAlign w:val="center"/>
          </w:tcPr>
          <w:p w14:paraId="3B9826AF" w14:textId="2374F5EB"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FFE699"/>
            <w:vAlign w:val="center"/>
          </w:tcPr>
          <w:p w14:paraId="5710E323" w14:textId="56CEDE77" w:rsidR="00D90B48" w:rsidRPr="00AF0575" w:rsidRDefault="00D90B48" w:rsidP="00D90B48">
            <w:pPr>
              <w:tabs>
                <w:tab w:val="clear" w:pos="0"/>
              </w:tabs>
              <w:spacing w:before="0"/>
              <w:jc w:val="center"/>
              <w:rPr>
                <w:rFonts w:cs="Calibri"/>
                <w:sz w:val="22"/>
                <w:szCs w:val="22"/>
              </w:rPr>
            </w:pPr>
            <w:r w:rsidRPr="005F7CDA">
              <w:rPr>
                <w:rFonts w:cs="Calibri"/>
                <w:sz w:val="22"/>
                <w:szCs w:val="22"/>
              </w:rPr>
              <w:t>Interim Strategic Director for Growth</w:t>
            </w:r>
          </w:p>
        </w:tc>
      </w:tr>
      <w:tr w:rsidR="00D90B48" w:rsidRPr="00AF0575" w14:paraId="4900B45E"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E699"/>
            <w:vAlign w:val="center"/>
          </w:tcPr>
          <w:p w14:paraId="50EA4E96" w14:textId="4E220FD1" w:rsidR="00D90B48" w:rsidRPr="00AF0575" w:rsidRDefault="00D90B48" w:rsidP="00D90B48">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E699"/>
            <w:vAlign w:val="center"/>
          </w:tcPr>
          <w:p w14:paraId="47D5A755" w14:textId="0BC5ACA1" w:rsidR="00D90B48" w:rsidRPr="00AF0575" w:rsidRDefault="00D90B48" w:rsidP="00D90B48">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E699"/>
            <w:vAlign w:val="center"/>
          </w:tcPr>
          <w:p w14:paraId="6A8155B9" w14:textId="397C5EF3" w:rsidR="00D90B48" w:rsidRPr="00AF0575" w:rsidRDefault="00D90B48" w:rsidP="00D90B48">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E699"/>
            <w:vAlign w:val="center"/>
          </w:tcPr>
          <w:p w14:paraId="7EC27EFB" w14:textId="73536E89"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068E6F27" w14:textId="1EE7E800" w:rsidR="00D90B48" w:rsidRPr="00F6694C" w:rsidRDefault="00D90B48" w:rsidP="00D90B48">
            <w:pPr>
              <w:numPr>
                <w:ilvl w:val="0"/>
                <w:numId w:val="0"/>
              </w:numPr>
              <w:spacing w:before="0"/>
              <w:jc w:val="center"/>
              <w:rPr>
                <w:rFonts w:cs="Calibri"/>
                <w:b/>
                <w:bCs/>
              </w:rPr>
            </w:pPr>
            <w:r w:rsidRPr="00AF0575">
              <w:rPr>
                <w:rFonts w:cs="Calibri"/>
                <w:b/>
                <w:bCs/>
              </w:rPr>
              <w:t>Continue to deliver the Eco-homes Programme and showcase the resulting low carbon housing</w:t>
            </w:r>
            <w:r>
              <w:rPr>
                <w:rFonts w:cs="Calibri"/>
                <w:b/>
                <w:bCs/>
              </w:rPr>
              <w:t>.</w:t>
            </w:r>
          </w:p>
        </w:tc>
        <w:tc>
          <w:tcPr>
            <w:tcW w:w="0" w:type="auto"/>
            <w:tcBorders>
              <w:top w:val="single" w:sz="4" w:space="0" w:color="auto"/>
              <w:left w:val="nil"/>
              <w:bottom w:val="single" w:sz="4" w:space="0" w:color="auto"/>
              <w:right w:val="single" w:sz="4" w:space="0" w:color="auto"/>
            </w:tcBorders>
            <w:shd w:val="clear" w:color="auto" w:fill="FFE699"/>
            <w:vAlign w:val="center"/>
          </w:tcPr>
          <w:p w14:paraId="214AEA56" w14:textId="6F380FD9"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E699"/>
            <w:vAlign w:val="center"/>
          </w:tcPr>
          <w:p w14:paraId="520C9D70" w14:textId="0BD6F34B" w:rsidR="00D90B48" w:rsidRPr="00AF0575" w:rsidRDefault="00D90B48" w:rsidP="00D90B48">
            <w:pPr>
              <w:tabs>
                <w:tab w:val="clear" w:pos="0"/>
              </w:tabs>
              <w:spacing w:before="0"/>
              <w:jc w:val="center"/>
              <w:rPr>
                <w:rFonts w:cs="Calibri"/>
                <w:sz w:val="22"/>
                <w:szCs w:val="22"/>
              </w:rPr>
            </w:pPr>
            <w:r w:rsidRPr="005F7CDA">
              <w:rPr>
                <w:rFonts w:cs="Calibri"/>
                <w:sz w:val="22"/>
                <w:szCs w:val="22"/>
              </w:rPr>
              <w:t>Interim Strategic Director for Growth</w:t>
            </w:r>
          </w:p>
        </w:tc>
      </w:tr>
      <w:tr w:rsidR="00D90B48" w:rsidRPr="00AF0575" w14:paraId="5C6274E7" w14:textId="77777777" w:rsidTr="008A38B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2CC"/>
            <w:vAlign w:val="center"/>
          </w:tcPr>
          <w:p w14:paraId="3B145C74" w14:textId="7F9000F9" w:rsidR="00D90B48" w:rsidRPr="00AF0575" w:rsidRDefault="00D90B48" w:rsidP="00D90B48">
            <w:pPr>
              <w:tabs>
                <w:tab w:val="clear" w:pos="0"/>
              </w:tabs>
              <w:spacing w:before="0"/>
              <w:jc w:val="center"/>
              <w:rPr>
                <w:rFonts w:cs="Calibri"/>
                <w:sz w:val="22"/>
                <w:szCs w:val="22"/>
              </w:rPr>
            </w:pPr>
            <w:r w:rsidRPr="00AF0575">
              <w:rPr>
                <w:rFonts w:cs="Calibri"/>
                <w:sz w:val="22"/>
                <w:szCs w:val="22"/>
              </w:rPr>
              <w:lastRenderedPageBreak/>
              <w:t>Buildings, Heat and Power</w:t>
            </w:r>
          </w:p>
        </w:tc>
        <w:tc>
          <w:tcPr>
            <w:tcW w:w="0" w:type="auto"/>
            <w:tcBorders>
              <w:top w:val="single" w:sz="4" w:space="0" w:color="auto"/>
              <w:left w:val="nil"/>
              <w:bottom w:val="single" w:sz="4" w:space="0" w:color="auto"/>
              <w:right w:val="single" w:sz="4" w:space="0" w:color="auto"/>
            </w:tcBorders>
            <w:shd w:val="clear" w:color="auto" w:fill="FFF2CC"/>
            <w:vAlign w:val="center"/>
          </w:tcPr>
          <w:p w14:paraId="172BB3F9" w14:textId="52825B4C" w:rsidR="00D90B48" w:rsidRPr="00AF0575" w:rsidRDefault="00D90B48" w:rsidP="00D90B48">
            <w:pPr>
              <w:tabs>
                <w:tab w:val="clear" w:pos="0"/>
              </w:tabs>
              <w:spacing w:before="0"/>
              <w:jc w:val="center"/>
              <w:rPr>
                <w:rFonts w:cs="Calibri"/>
                <w:sz w:val="22"/>
                <w:szCs w:val="22"/>
              </w:rPr>
            </w:pPr>
            <w:r w:rsidRPr="00AF0575">
              <w:rPr>
                <w:rFonts w:cs="Calibri"/>
                <w:sz w:val="22"/>
                <w:szCs w:val="22"/>
              </w:rPr>
              <w:t>BHP7</w:t>
            </w:r>
          </w:p>
        </w:tc>
        <w:tc>
          <w:tcPr>
            <w:tcW w:w="621" w:type="pct"/>
            <w:tcBorders>
              <w:top w:val="single" w:sz="4" w:space="0" w:color="auto"/>
              <w:left w:val="nil"/>
              <w:bottom w:val="single" w:sz="4" w:space="0" w:color="auto"/>
              <w:right w:val="single" w:sz="4" w:space="0" w:color="auto"/>
            </w:tcBorders>
            <w:shd w:val="clear" w:color="auto" w:fill="FFF2CC"/>
            <w:vAlign w:val="center"/>
          </w:tcPr>
          <w:p w14:paraId="02A4052B" w14:textId="771F43C8" w:rsidR="00D90B48" w:rsidRPr="00F6694C" w:rsidRDefault="00D90B48" w:rsidP="00D90B48">
            <w:pPr>
              <w:tabs>
                <w:tab w:val="clear" w:pos="0"/>
              </w:tabs>
              <w:spacing w:before="0"/>
              <w:jc w:val="center"/>
              <w:rPr>
                <w:rFonts w:cs="Calibri"/>
                <w:sz w:val="22"/>
                <w:szCs w:val="22"/>
              </w:rPr>
            </w:pPr>
            <w:r w:rsidRPr="00AF0575">
              <w:rPr>
                <w:rFonts w:cs="Calibri"/>
                <w:sz w:val="22"/>
                <w:szCs w:val="22"/>
              </w:rPr>
              <w:t>Planning policy framework for Net Zero embedded into next local plan by 2027</w:t>
            </w:r>
          </w:p>
        </w:tc>
        <w:tc>
          <w:tcPr>
            <w:tcW w:w="915" w:type="pct"/>
            <w:tcBorders>
              <w:top w:val="single" w:sz="4" w:space="0" w:color="auto"/>
              <w:left w:val="nil"/>
              <w:bottom w:val="single" w:sz="4" w:space="0" w:color="auto"/>
              <w:right w:val="single" w:sz="4" w:space="0" w:color="auto"/>
            </w:tcBorders>
            <w:shd w:val="clear" w:color="auto" w:fill="FFF2CC"/>
            <w:vAlign w:val="center"/>
          </w:tcPr>
          <w:p w14:paraId="6966EE74" w14:textId="50E80C57" w:rsidR="00D90B48" w:rsidRPr="00F6694C" w:rsidRDefault="00D90B48" w:rsidP="00D90B48">
            <w:pPr>
              <w:tabs>
                <w:tab w:val="clear" w:pos="0"/>
              </w:tabs>
              <w:spacing w:before="0"/>
              <w:jc w:val="center"/>
              <w:rPr>
                <w:rFonts w:cs="Calibri"/>
                <w:sz w:val="22"/>
                <w:szCs w:val="22"/>
              </w:rPr>
            </w:pPr>
            <w:r w:rsidRPr="00F6694C">
              <w:rPr>
                <w:rFonts w:cs="Calibri"/>
                <w:sz w:val="22"/>
                <w:szCs w:val="22"/>
              </w:rPr>
              <w:t>Provide a policy framework that supports the decarbonisation of land use and buildings across the city.</w:t>
            </w:r>
          </w:p>
        </w:tc>
        <w:tc>
          <w:tcPr>
            <w:tcW w:w="1780" w:type="pct"/>
            <w:tcBorders>
              <w:top w:val="single" w:sz="4" w:space="0" w:color="auto"/>
              <w:left w:val="nil"/>
              <w:bottom w:val="single" w:sz="4" w:space="0" w:color="auto"/>
              <w:right w:val="single" w:sz="4" w:space="0" w:color="auto"/>
            </w:tcBorders>
            <w:shd w:val="clear" w:color="auto" w:fill="FFF2CC"/>
            <w:vAlign w:val="center"/>
          </w:tcPr>
          <w:p w14:paraId="2CD6BBF3" w14:textId="29A92FA6" w:rsidR="00D90B48" w:rsidRPr="00AF0575" w:rsidRDefault="00D90B48" w:rsidP="00D90B48">
            <w:pPr>
              <w:tabs>
                <w:tab w:val="clear" w:pos="0"/>
              </w:tabs>
              <w:spacing w:before="0"/>
              <w:jc w:val="center"/>
              <w:rPr>
                <w:rFonts w:cs="Calibri"/>
                <w:b/>
                <w:bCs/>
              </w:rPr>
            </w:pPr>
            <w:r w:rsidRPr="00AF0575">
              <w:rPr>
                <w:rFonts w:cs="Calibri"/>
                <w:b/>
                <w:bCs/>
              </w:rPr>
              <w:t>Ensure that the next local plan responds to the city’s net zero ambition and the need for Plymouth to be a climate resilient city</w:t>
            </w:r>
            <w:r>
              <w:rPr>
                <w:rFonts w:cs="Calibri"/>
                <w:b/>
                <w:bCs/>
              </w:rPr>
              <w:t>.</w:t>
            </w:r>
          </w:p>
        </w:tc>
        <w:tc>
          <w:tcPr>
            <w:tcW w:w="0" w:type="auto"/>
            <w:tcBorders>
              <w:top w:val="single" w:sz="4" w:space="0" w:color="auto"/>
              <w:left w:val="nil"/>
              <w:bottom w:val="single" w:sz="4" w:space="0" w:color="auto"/>
              <w:right w:val="single" w:sz="4" w:space="0" w:color="auto"/>
            </w:tcBorders>
            <w:shd w:val="clear" w:color="auto" w:fill="FFF2CC"/>
            <w:vAlign w:val="center"/>
          </w:tcPr>
          <w:p w14:paraId="44F521A8" w14:textId="2C155B5A"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F2CC"/>
            <w:vAlign w:val="center"/>
          </w:tcPr>
          <w:p w14:paraId="0B1915B5" w14:textId="1DB8AF22" w:rsidR="00D90B48" w:rsidRPr="00AF0575" w:rsidRDefault="00D90B48" w:rsidP="00D90B48">
            <w:pPr>
              <w:tabs>
                <w:tab w:val="clear" w:pos="0"/>
              </w:tabs>
              <w:spacing w:before="0"/>
              <w:jc w:val="center"/>
              <w:rPr>
                <w:rFonts w:cs="Calibri"/>
                <w:sz w:val="22"/>
                <w:szCs w:val="22"/>
              </w:rPr>
            </w:pPr>
            <w:r w:rsidRPr="008E2481">
              <w:rPr>
                <w:rFonts w:cs="Calibri"/>
                <w:sz w:val="22"/>
                <w:szCs w:val="22"/>
              </w:rPr>
              <w:t>Interim Strategic Director for Growth</w:t>
            </w:r>
          </w:p>
        </w:tc>
      </w:tr>
      <w:tr w:rsidR="00D90B48" w:rsidRPr="00AF0575" w14:paraId="02CEB9B7" w14:textId="77777777" w:rsidTr="008A38B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E699"/>
            <w:vAlign w:val="center"/>
          </w:tcPr>
          <w:p w14:paraId="482BABF1" w14:textId="3FD0F990" w:rsidR="00D90B48" w:rsidRPr="00AF0575" w:rsidRDefault="00D90B48" w:rsidP="00D90B48">
            <w:pPr>
              <w:tabs>
                <w:tab w:val="clear" w:pos="0"/>
              </w:tabs>
              <w:spacing w:before="0"/>
              <w:jc w:val="center"/>
              <w:rPr>
                <w:rFonts w:cs="Calibri"/>
                <w:sz w:val="22"/>
                <w:szCs w:val="22"/>
              </w:rPr>
            </w:pPr>
            <w:r w:rsidRPr="00AF0575">
              <w:rPr>
                <w:rFonts w:cs="Calibri"/>
                <w:sz w:val="22"/>
                <w:szCs w:val="22"/>
              </w:rPr>
              <w:t>Buildings, Heat and Power</w:t>
            </w:r>
          </w:p>
        </w:tc>
        <w:tc>
          <w:tcPr>
            <w:tcW w:w="0" w:type="auto"/>
            <w:tcBorders>
              <w:top w:val="single" w:sz="4" w:space="0" w:color="auto"/>
              <w:left w:val="nil"/>
              <w:bottom w:val="single" w:sz="4" w:space="0" w:color="auto"/>
              <w:right w:val="single" w:sz="4" w:space="0" w:color="auto"/>
            </w:tcBorders>
            <w:shd w:val="clear" w:color="auto" w:fill="FFE699"/>
            <w:vAlign w:val="center"/>
          </w:tcPr>
          <w:p w14:paraId="4E701737" w14:textId="3B21F43D" w:rsidR="00D90B48" w:rsidRPr="00AF0575" w:rsidRDefault="00D90B48" w:rsidP="00D90B48">
            <w:pPr>
              <w:tabs>
                <w:tab w:val="clear" w:pos="0"/>
              </w:tabs>
              <w:spacing w:before="0"/>
              <w:jc w:val="center"/>
              <w:rPr>
                <w:rFonts w:cs="Calibri"/>
                <w:sz w:val="22"/>
                <w:szCs w:val="22"/>
              </w:rPr>
            </w:pPr>
            <w:r w:rsidRPr="00AF0575">
              <w:rPr>
                <w:rFonts w:cs="Calibri"/>
                <w:sz w:val="22"/>
                <w:szCs w:val="22"/>
              </w:rPr>
              <w:t>BHP8</w:t>
            </w:r>
          </w:p>
        </w:tc>
        <w:tc>
          <w:tcPr>
            <w:tcW w:w="621" w:type="pct"/>
            <w:tcBorders>
              <w:top w:val="single" w:sz="4" w:space="0" w:color="auto"/>
              <w:left w:val="nil"/>
              <w:bottom w:val="single" w:sz="4" w:space="0" w:color="auto"/>
              <w:right w:val="single" w:sz="4" w:space="0" w:color="auto"/>
            </w:tcBorders>
            <w:shd w:val="clear" w:color="auto" w:fill="FFE699"/>
            <w:vAlign w:val="center"/>
          </w:tcPr>
          <w:p w14:paraId="3D376A94" w14:textId="412024F2" w:rsidR="00D90B48" w:rsidRPr="00AF0575" w:rsidRDefault="00D90B48" w:rsidP="00D90B48">
            <w:pPr>
              <w:tabs>
                <w:tab w:val="clear" w:pos="0"/>
              </w:tabs>
              <w:spacing w:before="0"/>
              <w:jc w:val="center"/>
              <w:rPr>
                <w:rFonts w:cs="Calibri"/>
                <w:sz w:val="22"/>
                <w:szCs w:val="22"/>
              </w:rPr>
            </w:pPr>
            <w:r w:rsidRPr="00AF0575">
              <w:rPr>
                <w:rFonts w:cs="Calibri"/>
                <w:sz w:val="22"/>
                <w:szCs w:val="22"/>
              </w:rPr>
              <w:t>Significant progress towards ensuring that all the City Council's commercial properties have an Energy Performance Certificate of C or above by 2026, in support of national target to achieve this outcome by April 2027.</w:t>
            </w:r>
          </w:p>
        </w:tc>
        <w:tc>
          <w:tcPr>
            <w:tcW w:w="915" w:type="pct"/>
            <w:tcBorders>
              <w:top w:val="single" w:sz="4" w:space="0" w:color="auto"/>
              <w:left w:val="nil"/>
              <w:bottom w:val="single" w:sz="4" w:space="0" w:color="auto"/>
              <w:right w:val="single" w:sz="4" w:space="0" w:color="auto"/>
            </w:tcBorders>
            <w:shd w:val="clear" w:color="auto" w:fill="FFE699"/>
            <w:vAlign w:val="center"/>
          </w:tcPr>
          <w:p w14:paraId="12008231" w14:textId="016FB026" w:rsidR="00D90B48" w:rsidRPr="00AF0575" w:rsidRDefault="00D90B48" w:rsidP="00D90B48">
            <w:pPr>
              <w:tabs>
                <w:tab w:val="clear" w:pos="0"/>
              </w:tabs>
              <w:spacing w:before="0"/>
              <w:jc w:val="center"/>
              <w:rPr>
                <w:rFonts w:cs="Calibri"/>
                <w:sz w:val="22"/>
                <w:szCs w:val="22"/>
              </w:rPr>
            </w:pPr>
            <w:r w:rsidRPr="00AF0575">
              <w:rPr>
                <w:rFonts w:cs="Calibri"/>
                <w:sz w:val="22"/>
                <w:szCs w:val="22"/>
              </w:rPr>
              <w:t>Facilitate a reduction in emissions from our commercial estate</w:t>
            </w:r>
          </w:p>
        </w:tc>
        <w:tc>
          <w:tcPr>
            <w:tcW w:w="1780" w:type="pct"/>
            <w:tcBorders>
              <w:top w:val="single" w:sz="4" w:space="0" w:color="auto"/>
              <w:left w:val="nil"/>
              <w:bottom w:val="single" w:sz="4" w:space="0" w:color="auto"/>
              <w:right w:val="single" w:sz="4" w:space="0" w:color="auto"/>
            </w:tcBorders>
            <w:shd w:val="clear" w:color="auto" w:fill="FFE699"/>
            <w:vAlign w:val="center"/>
          </w:tcPr>
          <w:p w14:paraId="388F3DC9" w14:textId="01630B00" w:rsidR="00D90B48" w:rsidRPr="00AF0575" w:rsidRDefault="00D90B48" w:rsidP="00D90B48">
            <w:pPr>
              <w:tabs>
                <w:tab w:val="clear" w:pos="0"/>
              </w:tabs>
              <w:spacing w:before="0"/>
              <w:jc w:val="center"/>
              <w:rPr>
                <w:rFonts w:cs="Calibri"/>
                <w:b/>
                <w:bCs/>
              </w:rPr>
            </w:pPr>
            <w:r w:rsidRPr="00AF0575">
              <w:rPr>
                <w:rFonts w:cs="Calibri"/>
                <w:b/>
                <w:bCs/>
              </w:rPr>
              <w:t xml:space="preserve">Continue the ongoing review of Energy Performance Certificates across the commercial estate. Begin feasibility work to reach a minimum C rating. Work positively with our commercial tenants to support and where possible facilitate improvements to energy efficiency of buildings, including signposting them to any grant funding opportunities. </w:t>
            </w:r>
          </w:p>
        </w:tc>
        <w:tc>
          <w:tcPr>
            <w:tcW w:w="0" w:type="auto"/>
            <w:tcBorders>
              <w:top w:val="single" w:sz="4" w:space="0" w:color="auto"/>
              <w:left w:val="nil"/>
              <w:bottom w:val="single" w:sz="4" w:space="0" w:color="auto"/>
              <w:right w:val="single" w:sz="4" w:space="0" w:color="auto"/>
            </w:tcBorders>
            <w:shd w:val="clear" w:color="auto" w:fill="FFE699"/>
            <w:vAlign w:val="center"/>
          </w:tcPr>
          <w:p w14:paraId="6A421365" w14:textId="4742D38E"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E699"/>
            <w:vAlign w:val="center"/>
          </w:tcPr>
          <w:p w14:paraId="03EEFF8F" w14:textId="548F6179" w:rsidR="00D90B48" w:rsidRPr="00AF0575" w:rsidRDefault="00D90B48" w:rsidP="00D90B48">
            <w:pPr>
              <w:tabs>
                <w:tab w:val="clear" w:pos="0"/>
              </w:tabs>
              <w:spacing w:before="0"/>
              <w:jc w:val="center"/>
              <w:rPr>
                <w:rFonts w:cs="Calibri"/>
                <w:sz w:val="22"/>
                <w:szCs w:val="22"/>
              </w:rPr>
            </w:pPr>
            <w:r w:rsidRPr="008E2481">
              <w:rPr>
                <w:rFonts w:cs="Calibri"/>
                <w:sz w:val="22"/>
                <w:szCs w:val="22"/>
              </w:rPr>
              <w:t>Interim Strategic Director for Growth</w:t>
            </w:r>
          </w:p>
        </w:tc>
      </w:tr>
      <w:tr w:rsidR="00D90B48" w:rsidRPr="00AF0575" w14:paraId="5B732429" w14:textId="77777777" w:rsidTr="008A38B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2CC"/>
            <w:vAlign w:val="center"/>
          </w:tcPr>
          <w:p w14:paraId="4FB74DC3" w14:textId="4E000817" w:rsidR="00D90B48" w:rsidRPr="00AF0575" w:rsidRDefault="00D90B48" w:rsidP="00D90B48">
            <w:pPr>
              <w:tabs>
                <w:tab w:val="clear" w:pos="0"/>
              </w:tabs>
              <w:spacing w:before="0"/>
              <w:jc w:val="center"/>
              <w:rPr>
                <w:rFonts w:cs="Calibri"/>
                <w:sz w:val="22"/>
                <w:szCs w:val="22"/>
              </w:rPr>
            </w:pPr>
            <w:r w:rsidRPr="00AF0575">
              <w:rPr>
                <w:rFonts w:cs="Calibri"/>
                <w:sz w:val="22"/>
                <w:szCs w:val="22"/>
              </w:rPr>
              <w:lastRenderedPageBreak/>
              <w:t>Buildings, Heat and Power</w:t>
            </w:r>
          </w:p>
        </w:tc>
        <w:tc>
          <w:tcPr>
            <w:tcW w:w="0" w:type="auto"/>
            <w:tcBorders>
              <w:top w:val="single" w:sz="4" w:space="0" w:color="auto"/>
              <w:left w:val="nil"/>
              <w:bottom w:val="single" w:sz="4" w:space="0" w:color="auto"/>
              <w:right w:val="single" w:sz="4" w:space="0" w:color="auto"/>
            </w:tcBorders>
            <w:shd w:val="clear" w:color="auto" w:fill="FFF2CC"/>
            <w:vAlign w:val="center"/>
          </w:tcPr>
          <w:p w14:paraId="462F1918" w14:textId="157B87C1" w:rsidR="00D90B48" w:rsidRPr="00AF0575" w:rsidRDefault="00D90B48" w:rsidP="00D90B48">
            <w:pPr>
              <w:tabs>
                <w:tab w:val="clear" w:pos="0"/>
              </w:tabs>
              <w:spacing w:before="0"/>
              <w:jc w:val="center"/>
              <w:rPr>
                <w:rFonts w:cs="Calibri"/>
                <w:sz w:val="22"/>
                <w:szCs w:val="22"/>
              </w:rPr>
            </w:pPr>
            <w:r w:rsidRPr="00AF0575">
              <w:rPr>
                <w:rFonts w:cs="Calibri"/>
                <w:sz w:val="22"/>
                <w:szCs w:val="22"/>
              </w:rPr>
              <w:t>BHP9</w:t>
            </w:r>
          </w:p>
        </w:tc>
        <w:tc>
          <w:tcPr>
            <w:tcW w:w="621" w:type="pct"/>
            <w:tcBorders>
              <w:top w:val="single" w:sz="4" w:space="0" w:color="auto"/>
              <w:left w:val="nil"/>
              <w:bottom w:val="single" w:sz="4" w:space="0" w:color="auto"/>
              <w:right w:val="single" w:sz="4" w:space="0" w:color="auto"/>
            </w:tcBorders>
            <w:shd w:val="clear" w:color="auto" w:fill="FFF2CC"/>
            <w:vAlign w:val="center"/>
          </w:tcPr>
          <w:p w14:paraId="17E283BD" w14:textId="73921159" w:rsidR="00D90B48" w:rsidRPr="00AF0575" w:rsidRDefault="00D90B48" w:rsidP="00D90B48">
            <w:pPr>
              <w:tabs>
                <w:tab w:val="clear" w:pos="0"/>
              </w:tabs>
              <w:spacing w:before="0"/>
              <w:jc w:val="center"/>
              <w:rPr>
                <w:rFonts w:cs="Calibri"/>
                <w:sz w:val="22"/>
                <w:szCs w:val="22"/>
              </w:rPr>
            </w:pPr>
            <w:r w:rsidRPr="00AF0575">
              <w:rPr>
                <w:rFonts w:cs="Calibri"/>
                <w:sz w:val="22"/>
                <w:szCs w:val="22"/>
              </w:rPr>
              <w:t>700 households supported between 2025-2028</w:t>
            </w:r>
          </w:p>
        </w:tc>
        <w:tc>
          <w:tcPr>
            <w:tcW w:w="915" w:type="pct"/>
            <w:tcBorders>
              <w:top w:val="single" w:sz="4" w:space="0" w:color="auto"/>
              <w:left w:val="nil"/>
              <w:bottom w:val="single" w:sz="4" w:space="0" w:color="auto"/>
              <w:right w:val="single" w:sz="4" w:space="0" w:color="auto"/>
            </w:tcBorders>
            <w:shd w:val="clear" w:color="auto" w:fill="FFF2CC"/>
            <w:vAlign w:val="center"/>
          </w:tcPr>
          <w:p w14:paraId="67E4B137" w14:textId="1E5FBFC7" w:rsidR="00D90B48" w:rsidRPr="00AF0575" w:rsidRDefault="00D90B48" w:rsidP="00D90B48">
            <w:pPr>
              <w:tabs>
                <w:tab w:val="clear" w:pos="0"/>
              </w:tabs>
              <w:spacing w:before="0"/>
              <w:jc w:val="center"/>
              <w:rPr>
                <w:rFonts w:cs="Calibri"/>
                <w:sz w:val="22"/>
                <w:szCs w:val="22"/>
              </w:rPr>
            </w:pPr>
            <w:r w:rsidRPr="00AF0575">
              <w:rPr>
                <w:rFonts w:cs="Calibri"/>
                <w:sz w:val="22"/>
                <w:szCs w:val="22"/>
              </w:rPr>
              <w:t>Continue to develop and deliver schemes that support households in achieving greater energy efficiency and renewable energy generation, ensuring that poorer communities are not left behind, in partnership with Plymouth Energy Community and other partners.</w:t>
            </w:r>
          </w:p>
        </w:tc>
        <w:tc>
          <w:tcPr>
            <w:tcW w:w="1780" w:type="pct"/>
            <w:tcBorders>
              <w:top w:val="single" w:sz="4" w:space="0" w:color="auto"/>
              <w:left w:val="nil"/>
              <w:bottom w:val="single" w:sz="4" w:space="0" w:color="auto"/>
              <w:right w:val="single" w:sz="4" w:space="0" w:color="auto"/>
            </w:tcBorders>
            <w:shd w:val="clear" w:color="auto" w:fill="E2EFDA"/>
            <w:vAlign w:val="center"/>
          </w:tcPr>
          <w:p w14:paraId="4B6F76BA" w14:textId="26A4AB9E" w:rsidR="00D90B48" w:rsidRPr="00AF0575" w:rsidRDefault="00D90B48" w:rsidP="00D90B48">
            <w:pPr>
              <w:tabs>
                <w:tab w:val="clear" w:pos="0"/>
              </w:tabs>
              <w:spacing w:before="0"/>
              <w:jc w:val="center"/>
              <w:rPr>
                <w:rFonts w:cs="Calibri"/>
                <w:b/>
                <w:bCs/>
              </w:rPr>
            </w:pPr>
            <w:r w:rsidRPr="00AF0575">
              <w:rPr>
                <w:rFonts w:cs="Calibri"/>
                <w:b/>
                <w:bCs/>
              </w:rPr>
              <w:t>Support 700 households with energy efficiency and renewable energy measures through the Warm Homes Local Grant</w:t>
            </w:r>
            <w:r>
              <w:rPr>
                <w:rFonts w:cs="Calibri"/>
                <w:b/>
                <w:bCs/>
              </w:rPr>
              <w:t>.</w:t>
            </w:r>
          </w:p>
        </w:tc>
        <w:tc>
          <w:tcPr>
            <w:tcW w:w="0" w:type="auto"/>
            <w:tcBorders>
              <w:top w:val="single" w:sz="4" w:space="0" w:color="auto"/>
              <w:left w:val="nil"/>
              <w:bottom w:val="single" w:sz="4" w:space="0" w:color="auto"/>
              <w:right w:val="single" w:sz="4" w:space="0" w:color="auto"/>
            </w:tcBorders>
            <w:shd w:val="clear" w:color="auto" w:fill="E2EFDA"/>
            <w:vAlign w:val="center"/>
          </w:tcPr>
          <w:p w14:paraId="0E2A9F0E" w14:textId="59FA573F"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E2EFDA"/>
            <w:vAlign w:val="center"/>
          </w:tcPr>
          <w:p w14:paraId="14249BA1" w14:textId="5311B129" w:rsidR="00D90B48" w:rsidRPr="00AF0575" w:rsidRDefault="00D90B48" w:rsidP="00D90B48">
            <w:pPr>
              <w:tabs>
                <w:tab w:val="clear" w:pos="0"/>
              </w:tabs>
              <w:spacing w:before="0"/>
              <w:jc w:val="center"/>
              <w:rPr>
                <w:rFonts w:cs="Calibri"/>
                <w:sz w:val="22"/>
                <w:szCs w:val="22"/>
              </w:rPr>
            </w:pPr>
            <w:r w:rsidRPr="0060641E">
              <w:rPr>
                <w:rFonts w:cs="Calibri"/>
                <w:sz w:val="22"/>
                <w:szCs w:val="22"/>
              </w:rPr>
              <w:t>Interim Strategic Director for Growth</w:t>
            </w:r>
          </w:p>
        </w:tc>
      </w:tr>
      <w:tr w:rsidR="00D90B48" w:rsidRPr="00AF0575" w14:paraId="7CA8A0CD"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E699"/>
            <w:vAlign w:val="center"/>
          </w:tcPr>
          <w:p w14:paraId="6B3F2D55" w14:textId="631A6C23" w:rsidR="00D90B48" w:rsidRPr="00AF0575" w:rsidRDefault="00D90B48" w:rsidP="00D90B48">
            <w:pPr>
              <w:tabs>
                <w:tab w:val="clear" w:pos="0"/>
              </w:tabs>
              <w:spacing w:before="0"/>
              <w:jc w:val="center"/>
              <w:rPr>
                <w:rFonts w:cs="Calibri"/>
                <w:sz w:val="22"/>
                <w:szCs w:val="22"/>
              </w:rPr>
            </w:pPr>
            <w:r w:rsidRPr="00AF0575">
              <w:rPr>
                <w:rFonts w:cs="Calibri"/>
                <w:sz w:val="22"/>
                <w:szCs w:val="22"/>
              </w:rPr>
              <w:t>Buildings, Heat and Power</w:t>
            </w:r>
          </w:p>
        </w:tc>
        <w:tc>
          <w:tcPr>
            <w:tcW w:w="0" w:type="auto"/>
            <w:vMerge w:val="restart"/>
            <w:tcBorders>
              <w:top w:val="single" w:sz="4" w:space="0" w:color="auto"/>
              <w:left w:val="nil"/>
              <w:right w:val="single" w:sz="4" w:space="0" w:color="auto"/>
            </w:tcBorders>
            <w:shd w:val="clear" w:color="auto" w:fill="FFE699"/>
            <w:vAlign w:val="center"/>
          </w:tcPr>
          <w:p w14:paraId="71BAFA0E" w14:textId="0B291EED" w:rsidR="00D90B48" w:rsidRPr="00AF0575" w:rsidRDefault="00D90B48" w:rsidP="00D90B48">
            <w:pPr>
              <w:tabs>
                <w:tab w:val="clear" w:pos="0"/>
              </w:tabs>
              <w:spacing w:before="0"/>
              <w:jc w:val="center"/>
              <w:rPr>
                <w:rFonts w:cs="Calibri"/>
                <w:sz w:val="22"/>
                <w:szCs w:val="22"/>
              </w:rPr>
            </w:pPr>
            <w:r w:rsidRPr="00AF0575">
              <w:rPr>
                <w:rFonts w:cs="Calibri"/>
                <w:sz w:val="22"/>
                <w:szCs w:val="22"/>
              </w:rPr>
              <w:t>BHP10</w:t>
            </w:r>
          </w:p>
        </w:tc>
        <w:tc>
          <w:tcPr>
            <w:tcW w:w="621" w:type="pct"/>
            <w:vMerge w:val="restart"/>
            <w:tcBorders>
              <w:top w:val="single" w:sz="4" w:space="0" w:color="auto"/>
              <w:left w:val="nil"/>
              <w:right w:val="single" w:sz="4" w:space="0" w:color="auto"/>
            </w:tcBorders>
            <w:shd w:val="clear" w:color="auto" w:fill="FFE699"/>
            <w:vAlign w:val="center"/>
          </w:tcPr>
          <w:p w14:paraId="2D17E5BF" w14:textId="2575D41C" w:rsidR="00D90B48" w:rsidRPr="00AF0575" w:rsidRDefault="00D90B48" w:rsidP="00D90B48">
            <w:pPr>
              <w:tabs>
                <w:tab w:val="clear" w:pos="0"/>
              </w:tabs>
              <w:spacing w:before="0"/>
              <w:jc w:val="center"/>
              <w:rPr>
                <w:rFonts w:cs="Calibri"/>
                <w:sz w:val="22"/>
                <w:szCs w:val="22"/>
              </w:rPr>
            </w:pPr>
            <w:r w:rsidRPr="00AF0575">
              <w:rPr>
                <w:rFonts w:cs="Calibri"/>
                <w:sz w:val="22"/>
                <w:szCs w:val="22"/>
              </w:rPr>
              <w:t>7,500 MWh/a of heat supplied by new low carbon heat networks in Plymouth by end 2027/28</w:t>
            </w:r>
          </w:p>
        </w:tc>
        <w:tc>
          <w:tcPr>
            <w:tcW w:w="915" w:type="pct"/>
            <w:vMerge w:val="restart"/>
            <w:tcBorders>
              <w:top w:val="single" w:sz="4" w:space="0" w:color="auto"/>
              <w:left w:val="nil"/>
              <w:right w:val="single" w:sz="4" w:space="0" w:color="auto"/>
            </w:tcBorders>
            <w:shd w:val="clear" w:color="auto" w:fill="FFE699"/>
            <w:vAlign w:val="center"/>
          </w:tcPr>
          <w:p w14:paraId="08D59134" w14:textId="0EA55FD0" w:rsidR="00D90B48" w:rsidRPr="00AF0575" w:rsidRDefault="00D90B48" w:rsidP="00D90B48">
            <w:pPr>
              <w:tabs>
                <w:tab w:val="clear" w:pos="0"/>
              </w:tabs>
              <w:spacing w:before="0"/>
              <w:jc w:val="center"/>
              <w:rPr>
                <w:rFonts w:cs="Calibri"/>
                <w:sz w:val="22"/>
                <w:szCs w:val="22"/>
              </w:rPr>
            </w:pPr>
            <w:r w:rsidRPr="00AF0575">
              <w:rPr>
                <w:rFonts w:cs="Calibri"/>
                <w:sz w:val="22"/>
                <w:szCs w:val="22"/>
              </w:rPr>
              <w:t>Support the development of a low carbon energy generation and distribution infrastructure that will meet our future energy needs.</w:t>
            </w:r>
            <w:r w:rsidR="00970CA0">
              <w:rPr>
                <w:rFonts w:cs="Calibri"/>
                <w:sz w:val="22"/>
                <w:szCs w:val="22"/>
              </w:rPr>
              <w:t xml:space="preserve"> </w:t>
            </w:r>
          </w:p>
        </w:tc>
        <w:tc>
          <w:tcPr>
            <w:tcW w:w="1780" w:type="pct"/>
            <w:tcBorders>
              <w:top w:val="single" w:sz="4" w:space="0" w:color="auto"/>
              <w:left w:val="nil"/>
              <w:bottom w:val="single" w:sz="4" w:space="0" w:color="auto"/>
              <w:right w:val="single" w:sz="4" w:space="0" w:color="auto"/>
            </w:tcBorders>
            <w:shd w:val="clear" w:color="auto" w:fill="E2EFDA"/>
            <w:vAlign w:val="center"/>
          </w:tcPr>
          <w:p w14:paraId="04302FF1" w14:textId="44932122" w:rsidR="00D90B48" w:rsidRPr="00AF0575" w:rsidRDefault="00D90B48" w:rsidP="00D90B48">
            <w:pPr>
              <w:tabs>
                <w:tab w:val="clear" w:pos="0"/>
              </w:tabs>
              <w:spacing w:before="0"/>
              <w:jc w:val="center"/>
              <w:rPr>
                <w:rFonts w:cs="Calibri"/>
                <w:b/>
                <w:bCs/>
              </w:rPr>
            </w:pPr>
            <w:r w:rsidRPr="00AF0575">
              <w:rPr>
                <w:rFonts w:cs="Calibri"/>
                <w:b/>
                <w:bCs/>
              </w:rPr>
              <w:t>Commence the first phase of the £400 million heat network for Plymouth supported by the Government’s Advanced Zoning Programme.</w:t>
            </w:r>
          </w:p>
        </w:tc>
        <w:tc>
          <w:tcPr>
            <w:tcW w:w="0" w:type="auto"/>
            <w:tcBorders>
              <w:top w:val="single" w:sz="4" w:space="0" w:color="auto"/>
              <w:left w:val="nil"/>
              <w:bottom w:val="single" w:sz="4" w:space="0" w:color="auto"/>
              <w:right w:val="single" w:sz="4" w:space="0" w:color="auto"/>
            </w:tcBorders>
            <w:shd w:val="clear" w:color="auto" w:fill="E2EFDA"/>
            <w:vAlign w:val="center"/>
          </w:tcPr>
          <w:p w14:paraId="47ABDEEE" w14:textId="1959AAE7"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E2EFDA"/>
            <w:vAlign w:val="center"/>
          </w:tcPr>
          <w:p w14:paraId="27943B03" w14:textId="19152B54" w:rsidR="00D90B48" w:rsidRPr="00AF0575" w:rsidRDefault="00D90B48" w:rsidP="00D90B48">
            <w:pPr>
              <w:tabs>
                <w:tab w:val="clear" w:pos="0"/>
              </w:tabs>
              <w:spacing w:before="0"/>
              <w:jc w:val="center"/>
              <w:rPr>
                <w:rFonts w:cs="Calibri"/>
                <w:sz w:val="22"/>
                <w:szCs w:val="22"/>
              </w:rPr>
            </w:pPr>
            <w:r w:rsidRPr="0060641E">
              <w:rPr>
                <w:rFonts w:cs="Calibri"/>
                <w:sz w:val="22"/>
                <w:szCs w:val="22"/>
              </w:rPr>
              <w:t>Interim Strategic Director for Growth</w:t>
            </w:r>
          </w:p>
        </w:tc>
      </w:tr>
      <w:tr w:rsidR="00D90B48" w:rsidRPr="00AF0575" w14:paraId="3619B59A"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6C2DD9F2" w14:textId="67A93087" w:rsidR="00D90B48" w:rsidRPr="00AF0575"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360F1452" w14:textId="60B7A6BF" w:rsidR="00D90B48" w:rsidRPr="00AF0575"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7B8B6DEB" w14:textId="0084E953" w:rsidR="00D90B48" w:rsidRPr="00AF0575"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2F04D24C" w14:textId="05F7B2E7"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6704863F" w14:textId="18AE35D5" w:rsidR="00D90B48" w:rsidRPr="00AF0575" w:rsidRDefault="00D90B48" w:rsidP="00D90B48">
            <w:pPr>
              <w:numPr>
                <w:ilvl w:val="0"/>
                <w:numId w:val="0"/>
              </w:numPr>
              <w:spacing w:before="0"/>
              <w:jc w:val="center"/>
              <w:rPr>
                <w:rFonts w:cs="Calibri"/>
                <w:b/>
                <w:bCs/>
              </w:rPr>
            </w:pPr>
            <w:r w:rsidRPr="0035438E">
              <w:rPr>
                <w:rFonts w:cs="Calibri"/>
                <w:b/>
                <w:bCs/>
              </w:rPr>
              <w:t xml:space="preserve">Deliver enabling works towards creating heat network clusters at the Guildhall and Civic Centre, supplying the Theatre Royal, Combined Courts and Civic Centre Redevelopment with low carbon heat.  </w:t>
            </w:r>
          </w:p>
        </w:tc>
        <w:tc>
          <w:tcPr>
            <w:tcW w:w="0" w:type="auto"/>
            <w:tcBorders>
              <w:top w:val="single" w:sz="4" w:space="0" w:color="auto"/>
              <w:left w:val="nil"/>
              <w:bottom w:val="single" w:sz="4" w:space="0" w:color="auto"/>
              <w:right w:val="single" w:sz="4" w:space="0" w:color="auto"/>
            </w:tcBorders>
            <w:shd w:val="clear" w:color="auto" w:fill="FFE699"/>
            <w:vAlign w:val="center"/>
          </w:tcPr>
          <w:p w14:paraId="339F1A85" w14:textId="44182DBD"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2025-27</w:t>
            </w:r>
          </w:p>
        </w:tc>
        <w:tc>
          <w:tcPr>
            <w:tcW w:w="0" w:type="auto"/>
            <w:tcBorders>
              <w:top w:val="single" w:sz="4" w:space="0" w:color="auto"/>
              <w:left w:val="nil"/>
              <w:bottom w:val="single" w:sz="4" w:space="0" w:color="auto"/>
              <w:right w:val="single" w:sz="4" w:space="0" w:color="auto"/>
            </w:tcBorders>
            <w:shd w:val="clear" w:color="auto" w:fill="FFE699"/>
            <w:vAlign w:val="center"/>
          </w:tcPr>
          <w:p w14:paraId="79C92EEA" w14:textId="1B14CFC4" w:rsidR="00D90B48" w:rsidRPr="00AF0575" w:rsidRDefault="00D90B48" w:rsidP="00D90B48">
            <w:pPr>
              <w:tabs>
                <w:tab w:val="clear" w:pos="0"/>
              </w:tabs>
              <w:spacing w:before="0"/>
              <w:jc w:val="center"/>
              <w:rPr>
                <w:rFonts w:cs="Calibri"/>
                <w:sz w:val="22"/>
                <w:szCs w:val="22"/>
              </w:rPr>
            </w:pPr>
            <w:r w:rsidRPr="0060641E">
              <w:rPr>
                <w:rFonts w:cs="Calibri"/>
                <w:sz w:val="22"/>
                <w:szCs w:val="22"/>
              </w:rPr>
              <w:t>Interim Strategic Director for Growth</w:t>
            </w:r>
          </w:p>
        </w:tc>
      </w:tr>
      <w:tr w:rsidR="00D90B48" w:rsidRPr="00AF0575" w14:paraId="22D5AAF9"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1358B2AF" w14:textId="77777777" w:rsidR="00D90B48" w:rsidRPr="00AF0575"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4CCB9FF7" w14:textId="77777777" w:rsidR="00D90B48" w:rsidRPr="00AF0575"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3AC4B001" w14:textId="77777777" w:rsidR="00D90B48" w:rsidRPr="00AF0575"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26A0F812" w14:textId="77777777"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08599EFD" w14:textId="0BC93A91" w:rsidR="00D90B48" w:rsidRPr="00AF0575" w:rsidRDefault="00D90B48" w:rsidP="00D90B48">
            <w:pPr>
              <w:tabs>
                <w:tab w:val="clear" w:pos="0"/>
              </w:tabs>
              <w:spacing w:before="0"/>
              <w:jc w:val="center"/>
              <w:rPr>
                <w:rFonts w:cs="Calibri"/>
                <w:b/>
                <w:bCs/>
              </w:rPr>
            </w:pPr>
            <w:r w:rsidRPr="00AF0575">
              <w:rPr>
                <w:rFonts w:cs="Calibri"/>
                <w:b/>
                <w:bCs/>
              </w:rPr>
              <w:t>Work with our partners in the Devon Climate Emergency to develop a Local Area Energy Plan.</w:t>
            </w:r>
          </w:p>
        </w:tc>
        <w:tc>
          <w:tcPr>
            <w:tcW w:w="0" w:type="auto"/>
            <w:tcBorders>
              <w:top w:val="single" w:sz="4" w:space="0" w:color="auto"/>
              <w:left w:val="nil"/>
              <w:bottom w:val="single" w:sz="4" w:space="0" w:color="auto"/>
              <w:right w:val="single" w:sz="4" w:space="0" w:color="auto"/>
            </w:tcBorders>
            <w:shd w:val="clear" w:color="auto" w:fill="FFE699"/>
            <w:vAlign w:val="center"/>
          </w:tcPr>
          <w:p w14:paraId="7134F838" w14:textId="6BA5C4D6"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2025-27</w:t>
            </w:r>
          </w:p>
        </w:tc>
        <w:tc>
          <w:tcPr>
            <w:tcW w:w="0" w:type="auto"/>
            <w:tcBorders>
              <w:top w:val="single" w:sz="4" w:space="0" w:color="auto"/>
              <w:left w:val="nil"/>
              <w:bottom w:val="single" w:sz="4" w:space="0" w:color="auto"/>
              <w:right w:val="single" w:sz="4" w:space="0" w:color="auto"/>
            </w:tcBorders>
            <w:shd w:val="clear" w:color="auto" w:fill="FFE699"/>
            <w:vAlign w:val="center"/>
          </w:tcPr>
          <w:p w14:paraId="182371E9" w14:textId="4DFF1F70" w:rsidR="00D90B48" w:rsidRPr="00AF0575" w:rsidRDefault="00D90B48" w:rsidP="00D90B48">
            <w:pPr>
              <w:tabs>
                <w:tab w:val="clear" w:pos="0"/>
              </w:tabs>
              <w:spacing w:before="0"/>
              <w:jc w:val="center"/>
              <w:rPr>
                <w:rFonts w:cs="Calibri"/>
                <w:sz w:val="22"/>
                <w:szCs w:val="22"/>
              </w:rPr>
            </w:pPr>
            <w:r w:rsidRPr="0060641E">
              <w:rPr>
                <w:rFonts w:cs="Calibri"/>
                <w:sz w:val="22"/>
                <w:szCs w:val="22"/>
              </w:rPr>
              <w:t>Interim Strategic Director for Growth</w:t>
            </w:r>
          </w:p>
        </w:tc>
      </w:tr>
      <w:tr w:rsidR="00AB54E4" w:rsidRPr="00AF0575" w14:paraId="7541023A"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E699"/>
            <w:vAlign w:val="center"/>
          </w:tcPr>
          <w:p w14:paraId="7A0CD630" w14:textId="77777777" w:rsidR="00B36EEE" w:rsidRPr="00AF0575" w:rsidRDefault="00B36EEE" w:rsidP="00B36EEE">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E699"/>
            <w:vAlign w:val="center"/>
          </w:tcPr>
          <w:p w14:paraId="5981F76E" w14:textId="77777777" w:rsidR="00B36EEE" w:rsidRPr="00AF0575" w:rsidRDefault="00B36EEE" w:rsidP="00B36EEE">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E699"/>
            <w:vAlign w:val="center"/>
          </w:tcPr>
          <w:p w14:paraId="69FE2ADF" w14:textId="77777777" w:rsidR="00B36EEE" w:rsidRPr="00AF0575" w:rsidRDefault="00B36EEE" w:rsidP="00B36EEE">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E699"/>
            <w:vAlign w:val="center"/>
          </w:tcPr>
          <w:p w14:paraId="56BFAD23" w14:textId="77777777" w:rsidR="00B36EEE" w:rsidRPr="00AF0575" w:rsidRDefault="00B36EEE" w:rsidP="00B36EEE">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126208C9" w14:textId="41D8822D" w:rsidR="00B36EEE" w:rsidRPr="00AF0575" w:rsidRDefault="00B36EEE" w:rsidP="00B36EEE">
            <w:pPr>
              <w:tabs>
                <w:tab w:val="clear" w:pos="0"/>
              </w:tabs>
              <w:spacing w:before="0"/>
              <w:jc w:val="center"/>
              <w:rPr>
                <w:rFonts w:cs="Calibri"/>
                <w:b/>
                <w:bCs/>
              </w:rPr>
            </w:pPr>
            <w:r w:rsidRPr="00AF0575">
              <w:rPr>
                <w:rFonts w:cs="Calibri"/>
                <w:b/>
                <w:bCs/>
              </w:rPr>
              <w:t xml:space="preserve">Support the delivery of a 10MW Green Hydrogen Generation plant at Langage. </w:t>
            </w:r>
          </w:p>
        </w:tc>
        <w:tc>
          <w:tcPr>
            <w:tcW w:w="0" w:type="auto"/>
            <w:tcBorders>
              <w:top w:val="single" w:sz="4" w:space="0" w:color="auto"/>
              <w:left w:val="nil"/>
              <w:bottom w:val="single" w:sz="4" w:space="0" w:color="auto"/>
              <w:right w:val="single" w:sz="4" w:space="0" w:color="auto"/>
            </w:tcBorders>
            <w:shd w:val="clear" w:color="auto" w:fill="FFE699"/>
            <w:vAlign w:val="center"/>
          </w:tcPr>
          <w:p w14:paraId="55F7BE2A" w14:textId="345B1A84" w:rsidR="00B36EEE" w:rsidRPr="00AF0575" w:rsidRDefault="00B36EEE" w:rsidP="00B36EEE">
            <w:pPr>
              <w:tabs>
                <w:tab w:val="clear" w:pos="0"/>
              </w:tabs>
              <w:spacing w:before="0"/>
              <w:jc w:val="center"/>
              <w:rPr>
                <w:rFonts w:cs="Calibri"/>
                <w:b/>
                <w:bCs/>
                <w:sz w:val="22"/>
                <w:szCs w:val="22"/>
              </w:rPr>
            </w:pPr>
            <w:r w:rsidRPr="00AF0575">
              <w:rPr>
                <w:rFonts w:cs="Calibri"/>
                <w:b/>
                <w:bCs/>
                <w:sz w:val="22"/>
                <w:szCs w:val="22"/>
              </w:rPr>
              <w:t>2027/28</w:t>
            </w:r>
          </w:p>
        </w:tc>
        <w:tc>
          <w:tcPr>
            <w:tcW w:w="0" w:type="auto"/>
            <w:tcBorders>
              <w:top w:val="single" w:sz="4" w:space="0" w:color="auto"/>
              <w:left w:val="nil"/>
              <w:bottom w:val="single" w:sz="4" w:space="0" w:color="auto"/>
              <w:right w:val="single" w:sz="4" w:space="0" w:color="auto"/>
            </w:tcBorders>
            <w:shd w:val="clear" w:color="auto" w:fill="FFE699"/>
            <w:vAlign w:val="center"/>
          </w:tcPr>
          <w:p w14:paraId="1C474579" w14:textId="72AE06EB" w:rsidR="00B36EEE" w:rsidRPr="00AF0575" w:rsidRDefault="00D90B48" w:rsidP="00D90B48">
            <w:pPr>
              <w:tabs>
                <w:tab w:val="clear" w:pos="0"/>
              </w:tabs>
              <w:spacing w:before="0"/>
              <w:jc w:val="center"/>
              <w:rPr>
                <w:rFonts w:cs="Calibri"/>
                <w:sz w:val="22"/>
                <w:szCs w:val="22"/>
              </w:rPr>
            </w:pPr>
            <w:r w:rsidRPr="00AF0575">
              <w:rPr>
                <w:rFonts w:cs="Calibri"/>
                <w:sz w:val="22"/>
                <w:szCs w:val="22"/>
              </w:rPr>
              <w:t>Interim</w:t>
            </w:r>
            <w:r>
              <w:rPr>
                <w:rFonts w:cs="Calibri"/>
                <w:sz w:val="22"/>
                <w:szCs w:val="22"/>
              </w:rPr>
              <w:t xml:space="preserve"> Strategic</w:t>
            </w:r>
            <w:r w:rsidRPr="00AF0575">
              <w:rPr>
                <w:rFonts w:cs="Calibri"/>
                <w:sz w:val="22"/>
                <w:szCs w:val="22"/>
              </w:rPr>
              <w:t xml:space="preserve"> Director for Growth</w:t>
            </w:r>
          </w:p>
        </w:tc>
      </w:tr>
      <w:tr w:rsidR="00AB54E4" w:rsidRPr="00AF0575" w14:paraId="2222F351" w14:textId="77777777" w:rsidTr="008A38B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2CC"/>
            <w:vAlign w:val="center"/>
          </w:tcPr>
          <w:p w14:paraId="59FF7204" w14:textId="05AB2F4F" w:rsidR="00B36EEE" w:rsidRPr="00AF0575" w:rsidRDefault="00B36EEE" w:rsidP="00B36EEE">
            <w:pPr>
              <w:tabs>
                <w:tab w:val="clear" w:pos="0"/>
              </w:tabs>
              <w:spacing w:before="0"/>
              <w:jc w:val="center"/>
              <w:rPr>
                <w:rFonts w:cs="Calibri"/>
                <w:sz w:val="22"/>
                <w:szCs w:val="22"/>
              </w:rPr>
            </w:pPr>
            <w:r w:rsidRPr="00AF0575">
              <w:rPr>
                <w:rFonts w:cs="Calibri"/>
                <w:sz w:val="22"/>
                <w:szCs w:val="22"/>
              </w:rPr>
              <w:lastRenderedPageBreak/>
              <w:t>Transport</w:t>
            </w:r>
          </w:p>
        </w:tc>
        <w:tc>
          <w:tcPr>
            <w:tcW w:w="0" w:type="auto"/>
            <w:tcBorders>
              <w:top w:val="single" w:sz="4" w:space="0" w:color="auto"/>
              <w:left w:val="nil"/>
              <w:bottom w:val="single" w:sz="4" w:space="0" w:color="auto"/>
              <w:right w:val="single" w:sz="4" w:space="0" w:color="auto"/>
            </w:tcBorders>
            <w:shd w:val="clear" w:color="auto" w:fill="FFF2CC"/>
            <w:vAlign w:val="center"/>
          </w:tcPr>
          <w:p w14:paraId="37C5E28A" w14:textId="13429217" w:rsidR="00B36EEE" w:rsidRPr="00AF0575" w:rsidRDefault="00B36EEE" w:rsidP="00B36EEE">
            <w:pPr>
              <w:tabs>
                <w:tab w:val="clear" w:pos="0"/>
              </w:tabs>
              <w:spacing w:before="0"/>
              <w:jc w:val="center"/>
              <w:rPr>
                <w:rFonts w:cs="Calibri"/>
                <w:sz w:val="22"/>
                <w:szCs w:val="22"/>
              </w:rPr>
            </w:pPr>
            <w:r w:rsidRPr="00AF0575">
              <w:rPr>
                <w:rFonts w:cs="Calibri"/>
                <w:sz w:val="22"/>
                <w:szCs w:val="22"/>
              </w:rPr>
              <w:t>T1</w:t>
            </w:r>
          </w:p>
        </w:tc>
        <w:tc>
          <w:tcPr>
            <w:tcW w:w="621" w:type="pct"/>
            <w:tcBorders>
              <w:top w:val="single" w:sz="4" w:space="0" w:color="auto"/>
              <w:left w:val="nil"/>
              <w:bottom w:val="single" w:sz="4" w:space="0" w:color="auto"/>
              <w:right w:val="single" w:sz="4" w:space="0" w:color="auto"/>
            </w:tcBorders>
            <w:shd w:val="clear" w:color="auto" w:fill="FFF2CC"/>
            <w:vAlign w:val="center"/>
          </w:tcPr>
          <w:p w14:paraId="3D908EDE" w14:textId="7BEB2C28" w:rsidR="00B36EEE" w:rsidRPr="00AF0575" w:rsidRDefault="00B36EEE" w:rsidP="00B36EEE">
            <w:pPr>
              <w:tabs>
                <w:tab w:val="clear" w:pos="0"/>
              </w:tabs>
              <w:spacing w:before="0"/>
              <w:jc w:val="center"/>
              <w:rPr>
                <w:rFonts w:cs="Calibri"/>
                <w:sz w:val="22"/>
                <w:szCs w:val="22"/>
              </w:rPr>
            </w:pPr>
            <w:r w:rsidRPr="00AF0575">
              <w:rPr>
                <w:rFonts w:cs="Calibri"/>
                <w:sz w:val="22"/>
                <w:szCs w:val="22"/>
              </w:rPr>
              <w:t>Work towards a reduction of 7% in our business travel by 2030.</w:t>
            </w:r>
          </w:p>
        </w:tc>
        <w:tc>
          <w:tcPr>
            <w:tcW w:w="915" w:type="pct"/>
            <w:tcBorders>
              <w:top w:val="single" w:sz="4" w:space="0" w:color="auto"/>
              <w:left w:val="nil"/>
              <w:bottom w:val="single" w:sz="4" w:space="0" w:color="auto"/>
              <w:right w:val="single" w:sz="4" w:space="0" w:color="auto"/>
            </w:tcBorders>
            <w:shd w:val="clear" w:color="auto" w:fill="FFF2CC"/>
            <w:vAlign w:val="center"/>
          </w:tcPr>
          <w:p w14:paraId="6DC5A01B" w14:textId="0809F664" w:rsidR="00B36EEE" w:rsidRPr="00AF0575" w:rsidRDefault="00B36EEE" w:rsidP="00B36EEE">
            <w:pPr>
              <w:tabs>
                <w:tab w:val="clear" w:pos="0"/>
              </w:tabs>
              <w:spacing w:before="0"/>
              <w:jc w:val="center"/>
              <w:rPr>
                <w:rFonts w:cs="Calibri"/>
                <w:sz w:val="22"/>
                <w:szCs w:val="22"/>
              </w:rPr>
            </w:pPr>
            <w:r w:rsidRPr="00AF0575">
              <w:rPr>
                <w:rFonts w:cs="Calibri"/>
                <w:sz w:val="22"/>
                <w:szCs w:val="22"/>
              </w:rPr>
              <w:t>Deliver corporate policies and initiatives that minimise travel and encourage the adoption of active travel and low carbon alternatives.</w:t>
            </w:r>
          </w:p>
        </w:tc>
        <w:tc>
          <w:tcPr>
            <w:tcW w:w="1780" w:type="pct"/>
            <w:tcBorders>
              <w:top w:val="single" w:sz="4" w:space="0" w:color="auto"/>
              <w:left w:val="nil"/>
              <w:bottom w:val="single" w:sz="4" w:space="0" w:color="auto"/>
              <w:right w:val="single" w:sz="4" w:space="0" w:color="auto"/>
            </w:tcBorders>
            <w:shd w:val="clear" w:color="auto" w:fill="FFF2CC"/>
            <w:vAlign w:val="center"/>
          </w:tcPr>
          <w:p w14:paraId="519C1442" w14:textId="294AD809" w:rsidR="00B36EEE" w:rsidRPr="00AF0575" w:rsidRDefault="00B36EEE" w:rsidP="00B36EEE">
            <w:pPr>
              <w:tabs>
                <w:tab w:val="clear" w:pos="0"/>
              </w:tabs>
              <w:spacing w:before="0"/>
              <w:jc w:val="center"/>
              <w:rPr>
                <w:rFonts w:cs="Calibri"/>
                <w:b/>
                <w:bCs/>
              </w:rPr>
            </w:pPr>
            <w:r w:rsidRPr="00AF0575">
              <w:rPr>
                <w:rFonts w:cs="Calibri"/>
                <w:b/>
                <w:bCs/>
              </w:rPr>
              <w:t>Continue to deliver schemes to support Council staff and Councillors to minimise travel where possible and to adopt low carbon business travel and travel to work in line with the Go Green Travel Plan.</w:t>
            </w:r>
          </w:p>
        </w:tc>
        <w:tc>
          <w:tcPr>
            <w:tcW w:w="0" w:type="auto"/>
            <w:tcBorders>
              <w:top w:val="single" w:sz="4" w:space="0" w:color="auto"/>
              <w:left w:val="nil"/>
              <w:bottom w:val="single" w:sz="4" w:space="0" w:color="auto"/>
              <w:right w:val="single" w:sz="4" w:space="0" w:color="auto"/>
            </w:tcBorders>
            <w:shd w:val="clear" w:color="auto" w:fill="FFF2CC"/>
            <w:vAlign w:val="center"/>
          </w:tcPr>
          <w:p w14:paraId="6BC209E8" w14:textId="0CB73673" w:rsidR="00B36EEE" w:rsidRPr="00AF0575" w:rsidRDefault="00B36EEE" w:rsidP="00B36EEE">
            <w:pPr>
              <w:tabs>
                <w:tab w:val="clear" w:pos="0"/>
              </w:tabs>
              <w:spacing w:before="0"/>
              <w:jc w:val="center"/>
              <w:rPr>
                <w:rFonts w:cs="Calibri"/>
                <w:b/>
                <w:bCs/>
                <w:sz w:val="22"/>
                <w:szCs w:val="22"/>
              </w:rPr>
            </w:pPr>
            <w:r w:rsidRPr="00AF0575">
              <w:rPr>
                <w:rFonts w:cs="Calibri"/>
                <w:b/>
                <w:bCs/>
                <w:sz w:val="22"/>
                <w:szCs w:val="22"/>
              </w:rPr>
              <w:t>2025-27</w:t>
            </w:r>
          </w:p>
        </w:tc>
        <w:tc>
          <w:tcPr>
            <w:tcW w:w="0" w:type="auto"/>
            <w:tcBorders>
              <w:top w:val="single" w:sz="4" w:space="0" w:color="auto"/>
              <w:left w:val="nil"/>
              <w:bottom w:val="single" w:sz="4" w:space="0" w:color="auto"/>
              <w:right w:val="single" w:sz="4" w:space="0" w:color="auto"/>
            </w:tcBorders>
            <w:shd w:val="clear" w:color="auto" w:fill="FFF2CC"/>
            <w:vAlign w:val="center"/>
          </w:tcPr>
          <w:p w14:paraId="0E02F2A2" w14:textId="4603479B" w:rsidR="00B36EEE" w:rsidRPr="00AF0575" w:rsidRDefault="00B36EEE" w:rsidP="00D90B48">
            <w:pPr>
              <w:tabs>
                <w:tab w:val="clear" w:pos="0"/>
              </w:tabs>
              <w:spacing w:before="0"/>
              <w:jc w:val="center"/>
              <w:rPr>
                <w:rFonts w:cs="Calibri"/>
                <w:sz w:val="22"/>
                <w:szCs w:val="22"/>
              </w:rPr>
            </w:pPr>
            <w:r w:rsidRPr="00AF0575">
              <w:rPr>
                <w:rFonts w:cs="Calibri"/>
                <w:sz w:val="22"/>
                <w:szCs w:val="22"/>
              </w:rPr>
              <w:t>Service Director for Human Resources and Organisational Development</w:t>
            </w:r>
          </w:p>
        </w:tc>
      </w:tr>
      <w:tr w:rsidR="00D90B48" w:rsidRPr="00AF0575" w14:paraId="6FB71505"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E699"/>
            <w:vAlign w:val="center"/>
          </w:tcPr>
          <w:p w14:paraId="31DD2253" w14:textId="16B278C9" w:rsidR="00D90B48" w:rsidRPr="00AF0575" w:rsidRDefault="00D90B48" w:rsidP="00D90B48">
            <w:pPr>
              <w:tabs>
                <w:tab w:val="clear" w:pos="0"/>
              </w:tabs>
              <w:spacing w:before="0"/>
              <w:jc w:val="center"/>
              <w:rPr>
                <w:rFonts w:cs="Calibri"/>
                <w:sz w:val="22"/>
                <w:szCs w:val="22"/>
              </w:rPr>
            </w:pPr>
            <w:r w:rsidRPr="00AF0575">
              <w:rPr>
                <w:rFonts w:cs="Calibri"/>
                <w:sz w:val="22"/>
                <w:szCs w:val="22"/>
              </w:rPr>
              <w:t>Transport</w:t>
            </w:r>
          </w:p>
        </w:tc>
        <w:tc>
          <w:tcPr>
            <w:tcW w:w="0" w:type="auto"/>
            <w:vMerge w:val="restart"/>
            <w:tcBorders>
              <w:top w:val="single" w:sz="4" w:space="0" w:color="auto"/>
              <w:left w:val="nil"/>
              <w:right w:val="single" w:sz="4" w:space="0" w:color="auto"/>
            </w:tcBorders>
            <w:shd w:val="clear" w:color="auto" w:fill="FFE699"/>
            <w:vAlign w:val="center"/>
          </w:tcPr>
          <w:p w14:paraId="0B7A90F7" w14:textId="74443CC4" w:rsidR="00D90B48" w:rsidRPr="00AF0575" w:rsidRDefault="00D90B48" w:rsidP="00D90B48">
            <w:pPr>
              <w:tabs>
                <w:tab w:val="clear" w:pos="0"/>
              </w:tabs>
              <w:spacing w:before="0"/>
              <w:jc w:val="center"/>
              <w:rPr>
                <w:rFonts w:cs="Calibri"/>
                <w:sz w:val="22"/>
                <w:szCs w:val="22"/>
              </w:rPr>
            </w:pPr>
            <w:r w:rsidRPr="00AF0575">
              <w:rPr>
                <w:rFonts w:cs="Calibri"/>
                <w:sz w:val="22"/>
                <w:szCs w:val="22"/>
              </w:rPr>
              <w:t>T3</w:t>
            </w:r>
          </w:p>
        </w:tc>
        <w:tc>
          <w:tcPr>
            <w:tcW w:w="621" w:type="pct"/>
            <w:vMerge w:val="restart"/>
            <w:tcBorders>
              <w:top w:val="single" w:sz="4" w:space="0" w:color="auto"/>
              <w:left w:val="nil"/>
              <w:right w:val="single" w:sz="4" w:space="0" w:color="auto"/>
            </w:tcBorders>
            <w:shd w:val="clear" w:color="auto" w:fill="FFE699"/>
            <w:vAlign w:val="center"/>
          </w:tcPr>
          <w:p w14:paraId="7817F9CA" w14:textId="32AAB8D2" w:rsidR="00D90B48" w:rsidRPr="00AF0575" w:rsidRDefault="00D90B48" w:rsidP="00D90B48">
            <w:pPr>
              <w:tabs>
                <w:tab w:val="clear" w:pos="0"/>
              </w:tabs>
              <w:spacing w:before="0"/>
              <w:jc w:val="center"/>
              <w:rPr>
                <w:rFonts w:cs="Calibri"/>
                <w:sz w:val="22"/>
                <w:szCs w:val="22"/>
              </w:rPr>
            </w:pPr>
            <w:r w:rsidRPr="00AF0575">
              <w:rPr>
                <w:rFonts w:cs="Calibri"/>
                <w:sz w:val="22"/>
                <w:szCs w:val="22"/>
              </w:rPr>
              <w:br/>
              <w:t>Replace 30% of our fleet by electric vehicles by end of 2026 (70 out of 220 vehicles), including 100% of our small fleet.</w:t>
            </w:r>
          </w:p>
        </w:tc>
        <w:tc>
          <w:tcPr>
            <w:tcW w:w="915" w:type="pct"/>
            <w:vMerge w:val="restart"/>
            <w:tcBorders>
              <w:top w:val="single" w:sz="4" w:space="0" w:color="auto"/>
              <w:left w:val="nil"/>
              <w:right w:val="single" w:sz="4" w:space="0" w:color="auto"/>
            </w:tcBorders>
            <w:shd w:val="clear" w:color="auto" w:fill="FFE699"/>
            <w:vAlign w:val="center"/>
          </w:tcPr>
          <w:p w14:paraId="4AD6C513" w14:textId="26FDD3E3" w:rsidR="00D90B48" w:rsidRPr="00AF0575" w:rsidRDefault="00D90B48" w:rsidP="00D90B48">
            <w:pPr>
              <w:tabs>
                <w:tab w:val="clear" w:pos="0"/>
              </w:tabs>
              <w:spacing w:before="0"/>
              <w:jc w:val="center"/>
              <w:rPr>
                <w:rFonts w:cs="Calibri"/>
                <w:sz w:val="22"/>
                <w:szCs w:val="22"/>
              </w:rPr>
            </w:pPr>
            <w:r w:rsidRPr="00AF0575">
              <w:rPr>
                <w:rFonts w:cs="Calibri"/>
                <w:sz w:val="22"/>
                <w:szCs w:val="22"/>
              </w:rPr>
              <w:t>Implement a vehicle decarbonisation programme.</w:t>
            </w:r>
          </w:p>
        </w:tc>
        <w:tc>
          <w:tcPr>
            <w:tcW w:w="1780" w:type="pct"/>
            <w:tcBorders>
              <w:top w:val="single" w:sz="4" w:space="0" w:color="auto"/>
              <w:left w:val="nil"/>
              <w:bottom w:val="single" w:sz="4" w:space="0" w:color="auto"/>
              <w:right w:val="single" w:sz="4" w:space="0" w:color="auto"/>
            </w:tcBorders>
            <w:shd w:val="clear" w:color="auto" w:fill="FFE699"/>
            <w:vAlign w:val="center"/>
          </w:tcPr>
          <w:p w14:paraId="2C534C23" w14:textId="2A06C65A" w:rsidR="00D90B48" w:rsidRPr="00AF0575" w:rsidRDefault="00D90B48" w:rsidP="00D90B48">
            <w:pPr>
              <w:tabs>
                <w:tab w:val="clear" w:pos="0"/>
              </w:tabs>
              <w:spacing w:before="0"/>
              <w:jc w:val="center"/>
              <w:rPr>
                <w:rFonts w:cs="Calibri"/>
                <w:b/>
                <w:bCs/>
              </w:rPr>
            </w:pPr>
            <w:r w:rsidRPr="00AF0575">
              <w:rPr>
                <w:rFonts w:cs="Calibri"/>
                <w:b/>
                <w:bCs/>
              </w:rPr>
              <w:t xml:space="preserve">Continue the fleet rationalisation programme and the replacement of our small vans and cars by zero carbon vehicles. </w:t>
            </w:r>
          </w:p>
        </w:tc>
        <w:tc>
          <w:tcPr>
            <w:tcW w:w="0" w:type="auto"/>
            <w:tcBorders>
              <w:top w:val="single" w:sz="4" w:space="0" w:color="auto"/>
              <w:left w:val="nil"/>
              <w:bottom w:val="single" w:sz="4" w:space="0" w:color="auto"/>
              <w:right w:val="single" w:sz="4" w:space="0" w:color="auto"/>
            </w:tcBorders>
            <w:shd w:val="clear" w:color="auto" w:fill="FFE699"/>
            <w:vAlign w:val="center"/>
          </w:tcPr>
          <w:p w14:paraId="129C9337" w14:textId="69633196"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E699"/>
            <w:vAlign w:val="center"/>
          </w:tcPr>
          <w:p w14:paraId="1BC856CF" w14:textId="292E3672" w:rsidR="00D90B48" w:rsidRPr="00AF0575" w:rsidRDefault="00D90B48" w:rsidP="00D90B48">
            <w:pPr>
              <w:tabs>
                <w:tab w:val="clear" w:pos="0"/>
              </w:tabs>
              <w:spacing w:before="0"/>
              <w:jc w:val="center"/>
              <w:rPr>
                <w:rFonts w:cs="Calibri"/>
                <w:sz w:val="22"/>
                <w:szCs w:val="22"/>
              </w:rPr>
            </w:pPr>
            <w:r w:rsidRPr="00DC52C0">
              <w:rPr>
                <w:rFonts w:cs="Calibri"/>
                <w:sz w:val="22"/>
                <w:szCs w:val="22"/>
              </w:rPr>
              <w:t>Interim Strategic Director for Growth</w:t>
            </w:r>
          </w:p>
        </w:tc>
      </w:tr>
      <w:tr w:rsidR="00D90B48" w:rsidRPr="00AF0575" w14:paraId="3FF359C1"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5DAE4824" w14:textId="0EA20C29" w:rsidR="00D90B48" w:rsidRPr="00AF0575"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02127981" w14:textId="79B9284E" w:rsidR="00D90B48" w:rsidRPr="00AF0575"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19CBF6F9" w14:textId="4F4C2701" w:rsidR="00D90B48" w:rsidRPr="00AF0575"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40CE6F46" w14:textId="37813625"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4A8F9F7B" w14:textId="60F4218B" w:rsidR="00D90B48" w:rsidRPr="00AF0575" w:rsidRDefault="00D90B48" w:rsidP="00D90B48">
            <w:pPr>
              <w:tabs>
                <w:tab w:val="clear" w:pos="0"/>
              </w:tabs>
              <w:spacing w:before="0"/>
              <w:jc w:val="center"/>
              <w:rPr>
                <w:rFonts w:cs="Calibri"/>
                <w:b/>
                <w:bCs/>
              </w:rPr>
            </w:pPr>
            <w:r w:rsidRPr="00AF0575">
              <w:rPr>
                <w:rFonts w:cs="Calibri"/>
                <w:b/>
                <w:bCs/>
              </w:rPr>
              <w:t>Pursue funding opportunities to create charging substations to meet the increasing energy needs of the Council fleet and to deliver trials of zero emission specialist vehicles within the Council fleet.</w:t>
            </w:r>
          </w:p>
        </w:tc>
        <w:tc>
          <w:tcPr>
            <w:tcW w:w="0" w:type="auto"/>
            <w:tcBorders>
              <w:top w:val="single" w:sz="4" w:space="0" w:color="auto"/>
              <w:left w:val="nil"/>
              <w:bottom w:val="single" w:sz="4" w:space="0" w:color="auto"/>
              <w:right w:val="single" w:sz="4" w:space="0" w:color="auto"/>
            </w:tcBorders>
            <w:shd w:val="clear" w:color="auto" w:fill="FFE699"/>
            <w:vAlign w:val="center"/>
          </w:tcPr>
          <w:p w14:paraId="02E5FD5D" w14:textId="116833F9"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E699"/>
            <w:vAlign w:val="center"/>
          </w:tcPr>
          <w:p w14:paraId="4C359DCB" w14:textId="23C1F1D9" w:rsidR="00D90B48" w:rsidRPr="00AF0575" w:rsidRDefault="00D90B48" w:rsidP="00D90B48">
            <w:pPr>
              <w:tabs>
                <w:tab w:val="clear" w:pos="0"/>
              </w:tabs>
              <w:spacing w:before="0"/>
              <w:jc w:val="center"/>
              <w:rPr>
                <w:rFonts w:cs="Calibri"/>
                <w:sz w:val="22"/>
                <w:szCs w:val="22"/>
              </w:rPr>
            </w:pPr>
            <w:r w:rsidRPr="00DC52C0">
              <w:rPr>
                <w:rFonts w:cs="Calibri"/>
                <w:sz w:val="22"/>
                <w:szCs w:val="22"/>
              </w:rPr>
              <w:t>Interim Strategic Director for Growth</w:t>
            </w:r>
          </w:p>
        </w:tc>
      </w:tr>
      <w:tr w:rsidR="00D90B48" w:rsidRPr="00AF0575" w14:paraId="6D68FA4D"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E699"/>
            <w:vAlign w:val="center"/>
          </w:tcPr>
          <w:p w14:paraId="75C705E5" w14:textId="77777777" w:rsidR="00D90B48" w:rsidRPr="00AF0575" w:rsidRDefault="00D90B48" w:rsidP="00D90B48">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E699"/>
            <w:vAlign w:val="center"/>
          </w:tcPr>
          <w:p w14:paraId="6F3A18A7" w14:textId="77777777" w:rsidR="00D90B48" w:rsidRPr="00AF0575" w:rsidRDefault="00D90B48" w:rsidP="00D90B48">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E699"/>
            <w:vAlign w:val="center"/>
          </w:tcPr>
          <w:p w14:paraId="22D09F41" w14:textId="77777777" w:rsidR="00D90B48" w:rsidRPr="00AF0575" w:rsidRDefault="00D90B48" w:rsidP="00D90B48">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E699"/>
            <w:vAlign w:val="center"/>
          </w:tcPr>
          <w:p w14:paraId="387A3956" w14:textId="77777777"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43F65EF9" w14:textId="08AC91D2" w:rsidR="00D90B48" w:rsidRPr="00AF0575" w:rsidRDefault="00D90B48" w:rsidP="00D90B48">
            <w:pPr>
              <w:tabs>
                <w:tab w:val="clear" w:pos="0"/>
              </w:tabs>
              <w:spacing w:before="0"/>
              <w:jc w:val="center"/>
              <w:rPr>
                <w:rFonts w:cs="Calibri"/>
                <w:b/>
                <w:bCs/>
              </w:rPr>
            </w:pPr>
            <w:r w:rsidRPr="00AF0575">
              <w:rPr>
                <w:rFonts w:cs="Calibri"/>
                <w:b/>
                <w:bCs/>
              </w:rPr>
              <w:t xml:space="preserve">Commission a study on pathways to decarbonise </w:t>
            </w:r>
            <w:r>
              <w:rPr>
                <w:rFonts w:cs="Calibri"/>
                <w:b/>
                <w:bCs/>
              </w:rPr>
              <w:t>the city council’s</w:t>
            </w:r>
            <w:r w:rsidRPr="00AF0575">
              <w:rPr>
                <w:rFonts w:cs="Calibri"/>
                <w:b/>
                <w:bCs/>
              </w:rPr>
              <w:t xml:space="preserve"> fleet of large specialist vehicles, with a view to phasing out the purchasing of new diesel vehicles and replacing the rest of the Council fleet with zero emission vehicles in the period between 2027 and 2030.</w:t>
            </w:r>
          </w:p>
        </w:tc>
        <w:tc>
          <w:tcPr>
            <w:tcW w:w="0" w:type="auto"/>
            <w:tcBorders>
              <w:top w:val="single" w:sz="4" w:space="0" w:color="auto"/>
              <w:left w:val="nil"/>
              <w:bottom w:val="single" w:sz="4" w:space="0" w:color="auto"/>
              <w:right w:val="single" w:sz="4" w:space="0" w:color="auto"/>
            </w:tcBorders>
            <w:shd w:val="clear" w:color="auto" w:fill="FFE699"/>
            <w:vAlign w:val="center"/>
          </w:tcPr>
          <w:p w14:paraId="5DA66247" w14:textId="30ED8F24"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FFE699"/>
            <w:vAlign w:val="center"/>
          </w:tcPr>
          <w:p w14:paraId="5315263E" w14:textId="466A46EF" w:rsidR="00D90B48" w:rsidRPr="00AF0575" w:rsidRDefault="00D90B48" w:rsidP="00D90B48">
            <w:pPr>
              <w:tabs>
                <w:tab w:val="clear" w:pos="0"/>
              </w:tabs>
              <w:spacing w:before="0"/>
              <w:jc w:val="center"/>
              <w:rPr>
                <w:rFonts w:cs="Calibri"/>
                <w:sz w:val="22"/>
                <w:szCs w:val="22"/>
              </w:rPr>
            </w:pPr>
            <w:r w:rsidRPr="00DC52C0">
              <w:rPr>
                <w:rFonts w:cs="Calibri"/>
                <w:sz w:val="22"/>
                <w:szCs w:val="22"/>
              </w:rPr>
              <w:t>Interim Strategic Director for Growth</w:t>
            </w:r>
          </w:p>
        </w:tc>
      </w:tr>
      <w:tr w:rsidR="00D90B48" w:rsidRPr="00AF0575" w14:paraId="345A7289"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F2CC"/>
            <w:vAlign w:val="center"/>
          </w:tcPr>
          <w:p w14:paraId="6F575DBF" w14:textId="38DC5835" w:rsidR="00D90B48" w:rsidRPr="00AF0575" w:rsidRDefault="00D90B48" w:rsidP="00D90B48">
            <w:pPr>
              <w:tabs>
                <w:tab w:val="clear" w:pos="0"/>
              </w:tabs>
              <w:spacing w:before="0"/>
              <w:jc w:val="center"/>
              <w:rPr>
                <w:rFonts w:cs="Calibri"/>
                <w:sz w:val="22"/>
                <w:szCs w:val="22"/>
              </w:rPr>
            </w:pPr>
            <w:r w:rsidRPr="00AF0575">
              <w:rPr>
                <w:rFonts w:cs="Calibri"/>
                <w:sz w:val="22"/>
                <w:szCs w:val="22"/>
              </w:rPr>
              <w:t>Transport</w:t>
            </w:r>
          </w:p>
        </w:tc>
        <w:tc>
          <w:tcPr>
            <w:tcW w:w="0" w:type="auto"/>
            <w:vMerge w:val="restart"/>
            <w:tcBorders>
              <w:top w:val="single" w:sz="4" w:space="0" w:color="auto"/>
              <w:left w:val="nil"/>
              <w:right w:val="single" w:sz="4" w:space="0" w:color="auto"/>
            </w:tcBorders>
            <w:shd w:val="clear" w:color="auto" w:fill="FFF2CC"/>
            <w:vAlign w:val="center"/>
          </w:tcPr>
          <w:p w14:paraId="05B4594F" w14:textId="7830AF29" w:rsidR="00D90B48" w:rsidRPr="00AF0575" w:rsidRDefault="00D90B48" w:rsidP="00D90B48">
            <w:pPr>
              <w:tabs>
                <w:tab w:val="clear" w:pos="0"/>
              </w:tabs>
              <w:spacing w:before="0"/>
              <w:jc w:val="center"/>
              <w:rPr>
                <w:rFonts w:cs="Calibri"/>
                <w:sz w:val="22"/>
                <w:szCs w:val="22"/>
              </w:rPr>
            </w:pPr>
            <w:r w:rsidRPr="00AF0575">
              <w:rPr>
                <w:rFonts w:cs="Calibri"/>
                <w:sz w:val="22"/>
                <w:szCs w:val="22"/>
              </w:rPr>
              <w:t>T4</w:t>
            </w:r>
          </w:p>
        </w:tc>
        <w:tc>
          <w:tcPr>
            <w:tcW w:w="621" w:type="pct"/>
            <w:vMerge w:val="restart"/>
            <w:tcBorders>
              <w:top w:val="single" w:sz="4" w:space="0" w:color="auto"/>
              <w:left w:val="nil"/>
              <w:right w:val="single" w:sz="4" w:space="0" w:color="auto"/>
            </w:tcBorders>
            <w:shd w:val="clear" w:color="auto" w:fill="FFF2CC"/>
            <w:vAlign w:val="center"/>
          </w:tcPr>
          <w:p w14:paraId="72D2D4FB" w14:textId="7EBCA3CA" w:rsidR="00D90B48" w:rsidRPr="00AF0575" w:rsidRDefault="00D90B48" w:rsidP="00D90B48">
            <w:pPr>
              <w:tabs>
                <w:tab w:val="clear" w:pos="0"/>
              </w:tabs>
              <w:spacing w:before="0"/>
              <w:jc w:val="center"/>
              <w:rPr>
                <w:rFonts w:cs="Calibri"/>
                <w:sz w:val="22"/>
                <w:szCs w:val="22"/>
              </w:rPr>
            </w:pPr>
            <w:r w:rsidRPr="00AF0575">
              <w:rPr>
                <w:rFonts w:cs="Calibri"/>
                <w:sz w:val="22"/>
                <w:szCs w:val="22"/>
              </w:rPr>
              <w:t>Progress multiple initiatives to incentivise sustainable transport.</w:t>
            </w:r>
          </w:p>
        </w:tc>
        <w:tc>
          <w:tcPr>
            <w:tcW w:w="915" w:type="pct"/>
            <w:vMerge w:val="restart"/>
            <w:tcBorders>
              <w:top w:val="single" w:sz="4" w:space="0" w:color="auto"/>
              <w:left w:val="nil"/>
              <w:right w:val="single" w:sz="4" w:space="0" w:color="auto"/>
            </w:tcBorders>
            <w:shd w:val="clear" w:color="auto" w:fill="FFF2CC"/>
            <w:vAlign w:val="center"/>
          </w:tcPr>
          <w:p w14:paraId="1D41A49C" w14:textId="25E46BCE" w:rsidR="00D90B48" w:rsidRPr="00AF0575" w:rsidRDefault="00D90B48" w:rsidP="00D90B48">
            <w:pPr>
              <w:tabs>
                <w:tab w:val="clear" w:pos="0"/>
              </w:tabs>
              <w:spacing w:before="0"/>
              <w:jc w:val="center"/>
              <w:rPr>
                <w:rFonts w:cs="Calibri"/>
                <w:sz w:val="22"/>
                <w:szCs w:val="22"/>
              </w:rPr>
            </w:pPr>
            <w:r w:rsidRPr="00AF0575">
              <w:rPr>
                <w:rFonts w:cs="Calibri"/>
                <w:sz w:val="22"/>
                <w:szCs w:val="22"/>
              </w:rPr>
              <w:t>Provide local policies and initiatives that facilitate the decarbonisation of the transport system.</w:t>
            </w:r>
          </w:p>
        </w:tc>
        <w:tc>
          <w:tcPr>
            <w:tcW w:w="1780" w:type="pct"/>
            <w:tcBorders>
              <w:top w:val="single" w:sz="4" w:space="0" w:color="auto"/>
              <w:left w:val="nil"/>
              <w:bottom w:val="single" w:sz="4" w:space="0" w:color="auto"/>
              <w:right w:val="single" w:sz="4" w:space="0" w:color="auto"/>
            </w:tcBorders>
            <w:shd w:val="clear" w:color="auto" w:fill="E2EFDA"/>
            <w:vAlign w:val="center"/>
          </w:tcPr>
          <w:p w14:paraId="7A54BF39" w14:textId="70FB567F" w:rsidR="00D90B48" w:rsidRPr="00AF0575" w:rsidRDefault="00D90B48" w:rsidP="00D90B48">
            <w:pPr>
              <w:tabs>
                <w:tab w:val="clear" w:pos="0"/>
              </w:tabs>
              <w:spacing w:before="0"/>
              <w:jc w:val="center"/>
              <w:rPr>
                <w:rFonts w:cs="Calibri"/>
                <w:b/>
                <w:bCs/>
              </w:rPr>
            </w:pPr>
            <w:r w:rsidRPr="00AF0575">
              <w:rPr>
                <w:rFonts w:cs="Calibri"/>
                <w:b/>
                <w:bCs/>
              </w:rPr>
              <w:t xml:space="preserve">Explore options, feasibility, potential role and benefits of emissions-based vehicle charging tariffs in both incentivising sustainable transport choices and in supporting sustainable transport projects. </w:t>
            </w:r>
          </w:p>
        </w:tc>
        <w:tc>
          <w:tcPr>
            <w:tcW w:w="0" w:type="auto"/>
            <w:tcBorders>
              <w:top w:val="single" w:sz="4" w:space="0" w:color="auto"/>
              <w:left w:val="nil"/>
              <w:bottom w:val="single" w:sz="4" w:space="0" w:color="auto"/>
              <w:right w:val="single" w:sz="4" w:space="0" w:color="auto"/>
            </w:tcBorders>
            <w:shd w:val="clear" w:color="auto" w:fill="E2EFDA"/>
            <w:vAlign w:val="center"/>
          </w:tcPr>
          <w:p w14:paraId="2038E3A5" w14:textId="224E3CB5"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E2EFDA"/>
            <w:vAlign w:val="center"/>
          </w:tcPr>
          <w:p w14:paraId="4182072F" w14:textId="52309DD7" w:rsidR="00D90B48" w:rsidRPr="00AF0575" w:rsidRDefault="00D90B48" w:rsidP="00D90B48">
            <w:pPr>
              <w:tabs>
                <w:tab w:val="clear" w:pos="0"/>
              </w:tabs>
              <w:spacing w:before="0"/>
              <w:jc w:val="center"/>
              <w:rPr>
                <w:rFonts w:cs="Calibri"/>
                <w:sz w:val="22"/>
                <w:szCs w:val="22"/>
              </w:rPr>
            </w:pPr>
            <w:r w:rsidRPr="003667C8">
              <w:rPr>
                <w:rFonts w:cs="Calibri"/>
                <w:sz w:val="22"/>
                <w:szCs w:val="22"/>
              </w:rPr>
              <w:t>Interim Strategic Director for Growth</w:t>
            </w:r>
          </w:p>
        </w:tc>
      </w:tr>
      <w:tr w:rsidR="00D90B48" w:rsidRPr="00AF0575" w14:paraId="3C660183"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F2CC"/>
            <w:vAlign w:val="center"/>
          </w:tcPr>
          <w:p w14:paraId="0CE8D128" w14:textId="167E2118" w:rsidR="00D90B48" w:rsidRPr="00AF0575" w:rsidRDefault="00D90B48" w:rsidP="00D90B48">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F2CC"/>
            <w:vAlign w:val="center"/>
          </w:tcPr>
          <w:p w14:paraId="5AACA7C6" w14:textId="7FC848F7" w:rsidR="00D90B48" w:rsidRPr="00AF0575" w:rsidRDefault="00D90B48" w:rsidP="00D90B48">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F2CC"/>
            <w:vAlign w:val="center"/>
          </w:tcPr>
          <w:p w14:paraId="2CAD3245" w14:textId="41A43539" w:rsidR="00D90B48" w:rsidRPr="00AF0575" w:rsidRDefault="00D90B48" w:rsidP="00D90B48">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F2CC"/>
            <w:vAlign w:val="center"/>
          </w:tcPr>
          <w:p w14:paraId="0B6E44A8" w14:textId="539AB189"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204C8E5D" w14:textId="3BDC479F" w:rsidR="00D90B48" w:rsidRPr="00AF0575" w:rsidRDefault="00E44046" w:rsidP="00D90B48">
            <w:pPr>
              <w:tabs>
                <w:tab w:val="clear" w:pos="0"/>
              </w:tabs>
              <w:spacing w:before="0"/>
              <w:jc w:val="center"/>
              <w:rPr>
                <w:rFonts w:cs="Calibri"/>
                <w:b/>
                <w:bCs/>
              </w:rPr>
            </w:pPr>
            <w:r>
              <w:rPr>
                <w:rFonts w:cs="Calibri"/>
                <w:b/>
                <w:bCs/>
              </w:rPr>
              <w:t>Submit</w:t>
            </w:r>
            <w:r w:rsidR="00D90B48" w:rsidRPr="00AF0575">
              <w:rPr>
                <w:rFonts w:cs="Calibri"/>
                <w:b/>
                <w:bCs/>
              </w:rPr>
              <w:t xml:space="preserve"> an expression of interest for participation in the Department of Transport's e-scooter trial scheme.</w:t>
            </w:r>
          </w:p>
        </w:tc>
        <w:tc>
          <w:tcPr>
            <w:tcW w:w="0" w:type="auto"/>
            <w:tcBorders>
              <w:top w:val="single" w:sz="4" w:space="0" w:color="auto"/>
              <w:left w:val="nil"/>
              <w:bottom w:val="single" w:sz="4" w:space="0" w:color="auto"/>
              <w:right w:val="single" w:sz="4" w:space="0" w:color="auto"/>
            </w:tcBorders>
            <w:shd w:val="clear" w:color="auto" w:fill="E2EFDA"/>
            <w:vAlign w:val="center"/>
          </w:tcPr>
          <w:p w14:paraId="33FE5B81" w14:textId="563A44E7"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E2EFDA"/>
            <w:vAlign w:val="center"/>
          </w:tcPr>
          <w:p w14:paraId="400935E9" w14:textId="3DCAFDD0" w:rsidR="00D90B48" w:rsidRPr="00AF0575" w:rsidRDefault="00D90B48" w:rsidP="00D90B48">
            <w:pPr>
              <w:tabs>
                <w:tab w:val="clear" w:pos="0"/>
              </w:tabs>
              <w:spacing w:before="0"/>
              <w:jc w:val="center"/>
              <w:rPr>
                <w:rFonts w:cs="Calibri"/>
                <w:sz w:val="22"/>
                <w:szCs w:val="22"/>
              </w:rPr>
            </w:pPr>
            <w:r w:rsidRPr="003667C8">
              <w:rPr>
                <w:rFonts w:cs="Calibri"/>
                <w:sz w:val="22"/>
                <w:szCs w:val="22"/>
              </w:rPr>
              <w:t>Interim Strategic Director for Growth</w:t>
            </w:r>
          </w:p>
        </w:tc>
      </w:tr>
      <w:tr w:rsidR="00D90B48" w:rsidRPr="00AF0575" w14:paraId="5FB5441F"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E699"/>
            <w:vAlign w:val="center"/>
          </w:tcPr>
          <w:p w14:paraId="3054DE93" w14:textId="1122E0F5" w:rsidR="00D90B48" w:rsidRPr="00AF0575" w:rsidRDefault="00D90B48" w:rsidP="00D90B48">
            <w:pPr>
              <w:tabs>
                <w:tab w:val="clear" w:pos="0"/>
              </w:tabs>
              <w:spacing w:before="0"/>
              <w:jc w:val="center"/>
              <w:rPr>
                <w:rFonts w:cs="Calibri"/>
                <w:sz w:val="22"/>
                <w:szCs w:val="22"/>
              </w:rPr>
            </w:pPr>
            <w:r w:rsidRPr="00AF0575">
              <w:rPr>
                <w:rFonts w:cs="Calibri"/>
                <w:sz w:val="22"/>
                <w:szCs w:val="22"/>
              </w:rPr>
              <w:t>Transport</w:t>
            </w:r>
          </w:p>
        </w:tc>
        <w:tc>
          <w:tcPr>
            <w:tcW w:w="0" w:type="auto"/>
            <w:vMerge w:val="restart"/>
            <w:tcBorders>
              <w:top w:val="single" w:sz="4" w:space="0" w:color="auto"/>
              <w:left w:val="nil"/>
              <w:right w:val="single" w:sz="4" w:space="0" w:color="auto"/>
            </w:tcBorders>
            <w:shd w:val="clear" w:color="auto" w:fill="FFE699"/>
            <w:vAlign w:val="center"/>
          </w:tcPr>
          <w:p w14:paraId="42EB7B07" w14:textId="021CE41C" w:rsidR="00D90B48" w:rsidRPr="00AF0575" w:rsidRDefault="00D90B48" w:rsidP="00D90B48">
            <w:pPr>
              <w:tabs>
                <w:tab w:val="clear" w:pos="0"/>
              </w:tabs>
              <w:spacing w:before="0"/>
              <w:jc w:val="center"/>
              <w:rPr>
                <w:rFonts w:cs="Calibri"/>
                <w:sz w:val="22"/>
                <w:szCs w:val="22"/>
              </w:rPr>
            </w:pPr>
            <w:r w:rsidRPr="00AF0575">
              <w:rPr>
                <w:rFonts w:cs="Calibri"/>
                <w:sz w:val="22"/>
                <w:szCs w:val="22"/>
              </w:rPr>
              <w:t>T5</w:t>
            </w:r>
          </w:p>
        </w:tc>
        <w:tc>
          <w:tcPr>
            <w:tcW w:w="621" w:type="pct"/>
            <w:vMerge w:val="restart"/>
            <w:tcBorders>
              <w:top w:val="single" w:sz="4" w:space="0" w:color="auto"/>
              <w:left w:val="nil"/>
              <w:right w:val="single" w:sz="4" w:space="0" w:color="auto"/>
            </w:tcBorders>
            <w:shd w:val="clear" w:color="auto" w:fill="FFE699"/>
            <w:vAlign w:val="center"/>
          </w:tcPr>
          <w:p w14:paraId="5EDB9C46" w14:textId="4DC37FE9" w:rsidR="00D90B48" w:rsidRPr="00AF0575" w:rsidRDefault="00D90B48" w:rsidP="00D90B48">
            <w:pPr>
              <w:tabs>
                <w:tab w:val="clear" w:pos="0"/>
              </w:tabs>
              <w:spacing w:before="0"/>
              <w:jc w:val="center"/>
              <w:rPr>
                <w:rFonts w:cs="Calibri"/>
                <w:sz w:val="22"/>
                <w:szCs w:val="22"/>
              </w:rPr>
            </w:pPr>
            <w:r w:rsidRPr="00AF0575">
              <w:rPr>
                <w:rFonts w:cs="Calibri"/>
                <w:sz w:val="22"/>
                <w:szCs w:val="22"/>
              </w:rPr>
              <w:t>Contribute towards the achievement of the Enhanced Partnership Bus Service Improvement Plan bus patronage targets (2030 Bus Service Improvement Plan (BSIP) target (23,013,275) and</w:t>
            </w:r>
            <w:r w:rsidRPr="00243F43">
              <w:rPr>
                <w:rFonts w:cs="Calibri"/>
                <w:sz w:val="22"/>
                <w:szCs w:val="22"/>
              </w:rPr>
              <w:t xml:space="preserve"> </w:t>
            </w:r>
            <w:r w:rsidRPr="00AF0575">
              <w:rPr>
                <w:rFonts w:cs="Calibri"/>
                <w:sz w:val="22"/>
                <w:szCs w:val="22"/>
              </w:rPr>
              <w:t>2034 BSIP target (26,073,937).</w:t>
            </w:r>
            <w:r w:rsidRPr="00AF0575">
              <w:rPr>
                <w:rFonts w:cs="Calibri"/>
                <w:sz w:val="22"/>
                <w:szCs w:val="22"/>
              </w:rPr>
              <w:br/>
              <w:t xml:space="preserve">Achieve a target of 30,000 registered beryl bike users as a proxy for regular cycling in the city. </w:t>
            </w:r>
            <w:r w:rsidRPr="00AF0575">
              <w:rPr>
                <w:rFonts w:cs="Calibri"/>
                <w:sz w:val="22"/>
                <w:szCs w:val="22"/>
              </w:rPr>
              <w:br/>
              <w:t xml:space="preserve">Install public </w:t>
            </w:r>
            <w:r w:rsidRPr="00AF0575">
              <w:rPr>
                <w:rFonts w:cs="Calibri"/>
                <w:sz w:val="22"/>
                <w:szCs w:val="22"/>
              </w:rPr>
              <w:lastRenderedPageBreak/>
              <w:t>Electri</w:t>
            </w:r>
            <w:r w:rsidRPr="00243F43">
              <w:rPr>
                <w:rFonts w:cs="Calibri"/>
                <w:sz w:val="22"/>
                <w:szCs w:val="22"/>
              </w:rPr>
              <w:t xml:space="preserve">c </w:t>
            </w:r>
            <w:r w:rsidRPr="00AF0575">
              <w:rPr>
                <w:rFonts w:cs="Calibri"/>
                <w:sz w:val="22"/>
                <w:szCs w:val="22"/>
              </w:rPr>
              <w:t>Vehicle charge points for use in 200 parking bays each year in 2026, 2027 and 2028.</w:t>
            </w:r>
            <w:r w:rsidRPr="00AF0575">
              <w:rPr>
                <w:rFonts w:cs="Calibri"/>
                <w:sz w:val="22"/>
                <w:szCs w:val="22"/>
              </w:rPr>
              <w:br/>
              <w:t>Delivery of the final 1.3 miles of improved cycling and walking routes by 2026.</w:t>
            </w:r>
            <w:r w:rsidRPr="00AF0575">
              <w:rPr>
                <w:rFonts w:cs="Calibri"/>
                <w:sz w:val="22"/>
                <w:szCs w:val="22"/>
              </w:rPr>
              <w:br/>
              <w:t>10 new or improved road crossing points by 2026.</w:t>
            </w:r>
          </w:p>
        </w:tc>
        <w:tc>
          <w:tcPr>
            <w:tcW w:w="915" w:type="pct"/>
            <w:vMerge w:val="restart"/>
            <w:tcBorders>
              <w:top w:val="single" w:sz="4" w:space="0" w:color="auto"/>
              <w:left w:val="nil"/>
              <w:right w:val="single" w:sz="4" w:space="0" w:color="auto"/>
            </w:tcBorders>
            <w:shd w:val="clear" w:color="auto" w:fill="FFE699"/>
            <w:vAlign w:val="center"/>
          </w:tcPr>
          <w:p w14:paraId="2A071661" w14:textId="0AC2CD10" w:rsidR="00D90B48" w:rsidRPr="00AF0575" w:rsidRDefault="00D90B48" w:rsidP="00D90B48">
            <w:pPr>
              <w:tabs>
                <w:tab w:val="clear" w:pos="0"/>
              </w:tabs>
              <w:spacing w:before="0"/>
              <w:jc w:val="center"/>
              <w:rPr>
                <w:rFonts w:cs="Calibri"/>
                <w:sz w:val="22"/>
                <w:szCs w:val="22"/>
              </w:rPr>
            </w:pPr>
            <w:r w:rsidRPr="00AF0575">
              <w:rPr>
                <w:rFonts w:cs="Calibri"/>
                <w:sz w:val="22"/>
                <w:szCs w:val="22"/>
              </w:rPr>
              <w:lastRenderedPageBreak/>
              <w:t>Contribute to providing public infrastructure needed to meet the city's low carbon transport needs.</w:t>
            </w:r>
          </w:p>
        </w:tc>
        <w:tc>
          <w:tcPr>
            <w:tcW w:w="1780" w:type="pct"/>
            <w:tcBorders>
              <w:top w:val="single" w:sz="4" w:space="0" w:color="auto"/>
              <w:left w:val="nil"/>
              <w:bottom w:val="single" w:sz="4" w:space="0" w:color="auto"/>
              <w:right w:val="single" w:sz="4" w:space="0" w:color="auto"/>
            </w:tcBorders>
            <w:shd w:val="clear" w:color="auto" w:fill="FFE699"/>
            <w:vAlign w:val="center"/>
          </w:tcPr>
          <w:p w14:paraId="6CF23EC2" w14:textId="258A804D" w:rsidR="00D90B48" w:rsidRPr="00AF0575" w:rsidRDefault="00D90B48" w:rsidP="00D90B48">
            <w:pPr>
              <w:tabs>
                <w:tab w:val="clear" w:pos="0"/>
              </w:tabs>
              <w:spacing w:before="0"/>
              <w:jc w:val="center"/>
              <w:rPr>
                <w:rFonts w:cs="Calibri"/>
                <w:b/>
                <w:bCs/>
              </w:rPr>
            </w:pPr>
            <w:r w:rsidRPr="00AF0575">
              <w:rPr>
                <w:rFonts w:cs="Calibri"/>
                <w:b/>
                <w:bCs/>
              </w:rPr>
              <w:t>Implement the Electric Vehicle Charging Infrastructure Strategy for the City, including establishing charging hubs at key destinations, on-street provision, and considering electric vehicle users in parking policy and infrastructure projects.</w:t>
            </w:r>
          </w:p>
        </w:tc>
        <w:tc>
          <w:tcPr>
            <w:tcW w:w="0" w:type="auto"/>
            <w:tcBorders>
              <w:top w:val="single" w:sz="4" w:space="0" w:color="auto"/>
              <w:left w:val="nil"/>
              <w:bottom w:val="single" w:sz="4" w:space="0" w:color="auto"/>
              <w:right w:val="single" w:sz="4" w:space="0" w:color="auto"/>
            </w:tcBorders>
            <w:shd w:val="clear" w:color="auto" w:fill="FFE699"/>
            <w:vAlign w:val="center"/>
          </w:tcPr>
          <w:p w14:paraId="245E892C" w14:textId="5D4AA154"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 (as part of a 10-year strategy to 2034)</w:t>
            </w:r>
          </w:p>
        </w:tc>
        <w:tc>
          <w:tcPr>
            <w:tcW w:w="0" w:type="auto"/>
            <w:tcBorders>
              <w:top w:val="single" w:sz="4" w:space="0" w:color="auto"/>
              <w:left w:val="nil"/>
              <w:bottom w:val="single" w:sz="4" w:space="0" w:color="auto"/>
              <w:right w:val="single" w:sz="4" w:space="0" w:color="auto"/>
            </w:tcBorders>
            <w:shd w:val="clear" w:color="auto" w:fill="FFE699"/>
            <w:vAlign w:val="center"/>
          </w:tcPr>
          <w:p w14:paraId="59C117A7" w14:textId="28AE03D2" w:rsidR="00D90B48" w:rsidRPr="00AF0575" w:rsidRDefault="00D90B48" w:rsidP="00D90B48">
            <w:pPr>
              <w:tabs>
                <w:tab w:val="clear" w:pos="0"/>
              </w:tabs>
              <w:spacing w:before="0"/>
              <w:jc w:val="center"/>
              <w:rPr>
                <w:rFonts w:cs="Calibri"/>
                <w:sz w:val="22"/>
                <w:szCs w:val="22"/>
              </w:rPr>
            </w:pPr>
            <w:r w:rsidRPr="003667C8">
              <w:rPr>
                <w:rFonts w:cs="Calibri"/>
                <w:sz w:val="22"/>
                <w:szCs w:val="22"/>
              </w:rPr>
              <w:t>Interim Strategic Director for Growth</w:t>
            </w:r>
          </w:p>
        </w:tc>
      </w:tr>
      <w:tr w:rsidR="00D90B48" w:rsidRPr="00AF0575" w14:paraId="69281BEE"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48034D07" w14:textId="4274D4BE" w:rsidR="00D90B48" w:rsidRPr="00AF0575"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41AED15F" w14:textId="17125FC8" w:rsidR="00D90B48" w:rsidRPr="00AF0575"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6AA2FC74" w14:textId="36F13E91" w:rsidR="00D90B48" w:rsidRPr="00AF0575"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09BBF145" w14:textId="5FFA2261"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E699"/>
            <w:vAlign w:val="center"/>
          </w:tcPr>
          <w:p w14:paraId="0A23929A" w14:textId="689A5AA5" w:rsidR="00D90B48" w:rsidRPr="00AF0575" w:rsidRDefault="00D90B48" w:rsidP="00D90B48">
            <w:pPr>
              <w:tabs>
                <w:tab w:val="clear" w:pos="0"/>
              </w:tabs>
              <w:spacing w:before="0"/>
              <w:jc w:val="center"/>
              <w:rPr>
                <w:rFonts w:cs="Calibri"/>
                <w:b/>
                <w:bCs/>
              </w:rPr>
            </w:pPr>
            <w:r w:rsidRPr="00AF0575">
              <w:rPr>
                <w:rFonts w:cs="Calibri"/>
                <w:b/>
                <w:bCs/>
              </w:rPr>
              <w:t>Deliver the programme of improved cycling and walking routes, and improvement of road crossing points.</w:t>
            </w:r>
          </w:p>
        </w:tc>
        <w:tc>
          <w:tcPr>
            <w:tcW w:w="0" w:type="auto"/>
            <w:tcBorders>
              <w:top w:val="single" w:sz="4" w:space="0" w:color="auto"/>
              <w:left w:val="nil"/>
              <w:bottom w:val="single" w:sz="4" w:space="0" w:color="auto"/>
              <w:right w:val="single" w:sz="4" w:space="0" w:color="auto"/>
            </w:tcBorders>
            <w:shd w:val="clear" w:color="auto" w:fill="FFE699"/>
            <w:vAlign w:val="center"/>
          </w:tcPr>
          <w:p w14:paraId="11BBC9B5" w14:textId="46A76648"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FFE699"/>
            <w:vAlign w:val="center"/>
          </w:tcPr>
          <w:p w14:paraId="6C35DB39" w14:textId="341509D3" w:rsidR="00D90B48" w:rsidRPr="00AF0575" w:rsidRDefault="00D90B48" w:rsidP="00D90B48">
            <w:pPr>
              <w:tabs>
                <w:tab w:val="clear" w:pos="0"/>
              </w:tabs>
              <w:spacing w:before="0"/>
              <w:jc w:val="center"/>
              <w:rPr>
                <w:rFonts w:cs="Calibri"/>
                <w:sz w:val="22"/>
                <w:szCs w:val="22"/>
              </w:rPr>
            </w:pPr>
            <w:r w:rsidRPr="003667C8">
              <w:rPr>
                <w:rFonts w:cs="Calibri"/>
                <w:sz w:val="22"/>
                <w:szCs w:val="22"/>
              </w:rPr>
              <w:t>Interim Strategic Director for Growth</w:t>
            </w:r>
          </w:p>
        </w:tc>
      </w:tr>
      <w:tr w:rsidR="00D90B48" w:rsidRPr="00AF0575" w14:paraId="470C3E59"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42C46DF9" w14:textId="77777777" w:rsidR="00D90B48" w:rsidRPr="00AF0575"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04BBD49C" w14:textId="77777777" w:rsidR="00D90B48" w:rsidRPr="00AF0575"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34D80E68" w14:textId="77777777" w:rsidR="00D90B48" w:rsidRPr="00AF0575"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5FAD8C4A" w14:textId="77777777"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1FEBCAED" w14:textId="2A0993CC" w:rsidR="00D90B48" w:rsidRPr="00AF0575" w:rsidRDefault="00D90B48" w:rsidP="00D90B48">
            <w:pPr>
              <w:tabs>
                <w:tab w:val="clear" w:pos="0"/>
              </w:tabs>
              <w:spacing w:before="0"/>
              <w:jc w:val="center"/>
              <w:rPr>
                <w:rFonts w:cs="Calibri"/>
                <w:b/>
                <w:bCs/>
              </w:rPr>
            </w:pPr>
            <w:r w:rsidRPr="00AF0575">
              <w:rPr>
                <w:rFonts w:cs="Calibri"/>
                <w:b/>
                <w:bCs/>
              </w:rPr>
              <w:t xml:space="preserve">Work with </w:t>
            </w:r>
            <w:r>
              <w:rPr>
                <w:rFonts w:cs="Calibri"/>
                <w:b/>
                <w:bCs/>
              </w:rPr>
              <w:t xml:space="preserve">the </w:t>
            </w:r>
            <w:r w:rsidRPr="00AF0575">
              <w:rPr>
                <w:rFonts w:cs="Calibri"/>
                <w:b/>
                <w:bCs/>
              </w:rPr>
              <w:t>car club provider to support the expansion of the pool of electric vehicles available to the public, with the aim of doubling the number of vehicles available between 2025 and 2026</w:t>
            </w:r>
            <w:r>
              <w:rPr>
                <w:rFonts w:cs="Calibri"/>
                <w:b/>
                <w:bCs/>
              </w:rPr>
              <w:t>.</w:t>
            </w:r>
          </w:p>
        </w:tc>
        <w:tc>
          <w:tcPr>
            <w:tcW w:w="0" w:type="auto"/>
            <w:tcBorders>
              <w:top w:val="single" w:sz="4" w:space="0" w:color="auto"/>
              <w:left w:val="nil"/>
              <w:bottom w:val="single" w:sz="4" w:space="0" w:color="auto"/>
              <w:right w:val="single" w:sz="4" w:space="0" w:color="auto"/>
            </w:tcBorders>
            <w:shd w:val="clear" w:color="auto" w:fill="E2EFDA"/>
            <w:vAlign w:val="center"/>
          </w:tcPr>
          <w:p w14:paraId="33D4A9FC" w14:textId="134DFBB0"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E2EFDA"/>
            <w:vAlign w:val="center"/>
          </w:tcPr>
          <w:p w14:paraId="0089F1C2" w14:textId="29C81F71" w:rsidR="00D90B48" w:rsidRPr="00AF0575" w:rsidRDefault="00D90B48" w:rsidP="00D90B48">
            <w:pPr>
              <w:tabs>
                <w:tab w:val="clear" w:pos="0"/>
              </w:tabs>
              <w:spacing w:before="0"/>
              <w:jc w:val="center"/>
              <w:rPr>
                <w:rFonts w:cs="Calibri"/>
                <w:sz w:val="22"/>
                <w:szCs w:val="22"/>
              </w:rPr>
            </w:pPr>
            <w:r w:rsidRPr="00432202">
              <w:rPr>
                <w:rFonts w:cs="Calibri"/>
                <w:sz w:val="22"/>
                <w:szCs w:val="22"/>
              </w:rPr>
              <w:t>Interim Strategic Director for Growth</w:t>
            </w:r>
          </w:p>
        </w:tc>
      </w:tr>
      <w:tr w:rsidR="00D90B48" w:rsidRPr="00AF0575" w14:paraId="4938CD1B"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3BC0AFE1" w14:textId="77777777" w:rsidR="00D90B48" w:rsidRPr="00AF0575"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6A281DFB" w14:textId="77777777" w:rsidR="00D90B48" w:rsidRPr="00AF0575"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20131ED2" w14:textId="77777777" w:rsidR="00D90B48" w:rsidRPr="00AF0575"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189222B4" w14:textId="77777777"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394A00A6" w14:textId="1A9C3234" w:rsidR="00D90B48" w:rsidRPr="00AF0575" w:rsidRDefault="00D90B48" w:rsidP="00D90B48">
            <w:pPr>
              <w:tabs>
                <w:tab w:val="clear" w:pos="0"/>
              </w:tabs>
              <w:spacing w:before="0"/>
              <w:jc w:val="center"/>
              <w:rPr>
                <w:rFonts w:cs="Calibri"/>
                <w:b/>
                <w:bCs/>
              </w:rPr>
            </w:pPr>
            <w:r w:rsidRPr="00AF0575">
              <w:rPr>
                <w:rFonts w:cs="Calibri"/>
                <w:b/>
                <w:bCs/>
              </w:rPr>
              <w:t xml:space="preserve">Implement the Plymouth Zero Emission Bus Regional Area 2 Fund project in full delivering 59 electric double decker buses and associated charging infrastructure. </w:t>
            </w:r>
          </w:p>
        </w:tc>
        <w:tc>
          <w:tcPr>
            <w:tcW w:w="0" w:type="auto"/>
            <w:tcBorders>
              <w:top w:val="single" w:sz="4" w:space="0" w:color="auto"/>
              <w:left w:val="nil"/>
              <w:bottom w:val="single" w:sz="4" w:space="0" w:color="auto"/>
              <w:right w:val="single" w:sz="4" w:space="0" w:color="auto"/>
            </w:tcBorders>
            <w:shd w:val="clear" w:color="auto" w:fill="E2EFDA"/>
            <w:vAlign w:val="center"/>
          </w:tcPr>
          <w:p w14:paraId="6707AF0D" w14:textId="113D4960"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E2EFDA"/>
            <w:vAlign w:val="center"/>
          </w:tcPr>
          <w:p w14:paraId="2CD38241" w14:textId="09C61447" w:rsidR="00D90B48" w:rsidRPr="00AF0575" w:rsidRDefault="00D90B48" w:rsidP="00D90B48">
            <w:pPr>
              <w:tabs>
                <w:tab w:val="clear" w:pos="0"/>
              </w:tabs>
              <w:spacing w:before="0"/>
              <w:jc w:val="center"/>
              <w:rPr>
                <w:rFonts w:cs="Calibri"/>
                <w:sz w:val="22"/>
                <w:szCs w:val="22"/>
              </w:rPr>
            </w:pPr>
            <w:r w:rsidRPr="00432202">
              <w:rPr>
                <w:rFonts w:cs="Calibri"/>
                <w:sz w:val="22"/>
                <w:szCs w:val="22"/>
              </w:rPr>
              <w:t>Interim Strategic Director for Growth</w:t>
            </w:r>
          </w:p>
        </w:tc>
      </w:tr>
      <w:tr w:rsidR="00D90B48" w:rsidRPr="00AF0575" w14:paraId="47149E4E"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E699"/>
            <w:vAlign w:val="center"/>
          </w:tcPr>
          <w:p w14:paraId="23216851" w14:textId="77777777" w:rsidR="00D90B48" w:rsidRPr="00AF0575" w:rsidRDefault="00D90B48" w:rsidP="00D90B48">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E699"/>
            <w:vAlign w:val="center"/>
          </w:tcPr>
          <w:p w14:paraId="53ABA74B" w14:textId="77777777" w:rsidR="00D90B48" w:rsidRPr="00AF0575" w:rsidRDefault="00D90B48" w:rsidP="00D90B48">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E699"/>
            <w:vAlign w:val="center"/>
          </w:tcPr>
          <w:p w14:paraId="7B3DC71A" w14:textId="77777777" w:rsidR="00D90B48" w:rsidRPr="00AF0575" w:rsidRDefault="00D90B48" w:rsidP="00D90B48">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E699"/>
            <w:vAlign w:val="center"/>
          </w:tcPr>
          <w:p w14:paraId="0C0C2F01" w14:textId="77777777"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4A73E4E5" w14:textId="021E152F" w:rsidR="00D90B48" w:rsidRPr="00AF0575" w:rsidRDefault="00D90B48" w:rsidP="00D90B48">
            <w:pPr>
              <w:tabs>
                <w:tab w:val="clear" w:pos="0"/>
              </w:tabs>
              <w:spacing w:before="0"/>
              <w:jc w:val="center"/>
              <w:rPr>
                <w:rFonts w:cs="Calibri"/>
                <w:b/>
                <w:bCs/>
              </w:rPr>
            </w:pPr>
            <w:r w:rsidRPr="00AF0575">
              <w:rPr>
                <w:rFonts w:cs="Calibri"/>
                <w:b/>
                <w:bCs/>
              </w:rPr>
              <w:t>Implement bus corridor improvements, smart signal technology and the reallocation of road space to prioritise buses</w:t>
            </w:r>
            <w:r>
              <w:rPr>
                <w:rFonts w:cs="Calibri"/>
                <w:b/>
                <w:bCs/>
              </w:rPr>
              <w:t>.</w:t>
            </w:r>
          </w:p>
        </w:tc>
        <w:tc>
          <w:tcPr>
            <w:tcW w:w="0" w:type="auto"/>
            <w:tcBorders>
              <w:top w:val="single" w:sz="4" w:space="0" w:color="auto"/>
              <w:left w:val="nil"/>
              <w:bottom w:val="single" w:sz="4" w:space="0" w:color="auto"/>
              <w:right w:val="single" w:sz="4" w:space="0" w:color="auto"/>
            </w:tcBorders>
            <w:shd w:val="clear" w:color="auto" w:fill="E2EFDA"/>
            <w:vAlign w:val="center"/>
          </w:tcPr>
          <w:p w14:paraId="5B21137C" w14:textId="652C767E"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E2EFDA"/>
            <w:vAlign w:val="center"/>
          </w:tcPr>
          <w:p w14:paraId="1EF56446" w14:textId="4E754A69" w:rsidR="00D90B48" w:rsidRPr="00AF0575" w:rsidRDefault="00D90B48" w:rsidP="00D90B48">
            <w:pPr>
              <w:tabs>
                <w:tab w:val="clear" w:pos="0"/>
              </w:tabs>
              <w:spacing w:before="0"/>
              <w:jc w:val="center"/>
              <w:rPr>
                <w:rFonts w:cs="Calibri"/>
                <w:sz w:val="22"/>
                <w:szCs w:val="22"/>
              </w:rPr>
            </w:pPr>
            <w:r w:rsidRPr="00A94006">
              <w:rPr>
                <w:rFonts w:cs="Calibri"/>
                <w:sz w:val="22"/>
                <w:szCs w:val="22"/>
              </w:rPr>
              <w:t>Interim Strategic Director for Growth</w:t>
            </w:r>
          </w:p>
        </w:tc>
      </w:tr>
      <w:tr w:rsidR="00D90B48" w:rsidRPr="00AF0575" w14:paraId="037A3403" w14:textId="77777777" w:rsidTr="008A38B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2CC"/>
            <w:vAlign w:val="center"/>
          </w:tcPr>
          <w:p w14:paraId="7D09FE1C" w14:textId="39B4067E" w:rsidR="00D90B48" w:rsidRPr="00AF0575" w:rsidRDefault="00D90B48" w:rsidP="00D90B48">
            <w:pPr>
              <w:tabs>
                <w:tab w:val="clear" w:pos="0"/>
              </w:tabs>
              <w:spacing w:before="0"/>
              <w:jc w:val="center"/>
              <w:rPr>
                <w:rFonts w:cs="Calibri"/>
                <w:sz w:val="22"/>
                <w:szCs w:val="22"/>
              </w:rPr>
            </w:pPr>
            <w:r w:rsidRPr="00AF0575">
              <w:rPr>
                <w:rFonts w:cs="Calibri"/>
                <w:sz w:val="22"/>
                <w:szCs w:val="22"/>
              </w:rPr>
              <w:t>Transport</w:t>
            </w:r>
          </w:p>
        </w:tc>
        <w:tc>
          <w:tcPr>
            <w:tcW w:w="0" w:type="auto"/>
            <w:tcBorders>
              <w:top w:val="single" w:sz="4" w:space="0" w:color="auto"/>
              <w:left w:val="nil"/>
              <w:bottom w:val="single" w:sz="4" w:space="0" w:color="auto"/>
              <w:right w:val="single" w:sz="4" w:space="0" w:color="auto"/>
            </w:tcBorders>
            <w:shd w:val="clear" w:color="auto" w:fill="FFF2CC"/>
            <w:vAlign w:val="center"/>
          </w:tcPr>
          <w:p w14:paraId="036667F8" w14:textId="5865DD4E" w:rsidR="00D90B48" w:rsidRPr="00AF0575" w:rsidRDefault="00D90B48" w:rsidP="00D90B48">
            <w:pPr>
              <w:numPr>
                <w:ilvl w:val="0"/>
                <w:numId w:val="0"/>
              </w:numPr>
              <w:spacing w:before="0"/>
              <w:jc w:val="center"/>
              <w:rPr>
                <w:rFonts w:cs="Calibri"/>
                <w:sz w:val="22"/>
                <w:szCs w:val="22"/>
              </w:rPr>
            </w:pPr>
            <w:r w:rsidRPr="00AF0575">
              <w:rPr>
                <w:rFonts w:cs="Calibri"/>
                <w:sz w:val="22"/>
                <w:szCs w:val="22"/>
              </w:rPr>
              <w:t>T6</w:t>
            </w:r>
          </w:p>
        </w:tc>
        <w:tc>
          <w:tcPr>
            <w:tcW w:w="621" w:type="pct"/>
            <w:tcBorders>
              <w:top w:val="single" w:sz="4" w:space="0" w:color="auto"/>
              <w:left w:val="nil"/>
              <w:bottom w:val="single" w:sz="4" w:space="0" w:color="auto"/>
              <w:right w:val="single" w:sz="4" w:space="0" w:color="auto"/>
            </w:tcBorders>
            <w:shd w:val="clear" w:color="auto" w:fill="FFF2CC"/>
            <w:vAlign w:val="center"/>
          </w:tcPr>
          <w:p w14:paraId="0AAF48DF" w14:textId="58A7A693" w:rsidR="00D90B48" w:rsidRPr="00AF0575" w:rsidRDefault="00D90B48" w:rsidP="00D90B48">
            <w:pPr>
              <w:tabs>
                <w:tab w:val="clear" w:pos="0"/>
              </w:tabs>
              <w:spacing w:before="0"/>
              <w:jc w:val="center"/>
              <w:rPr>
                <w:rFonts w:cs="Calibri"/>
                <w:sz w:val="22"/>
                <w:szCs w:val="22"/>
              </w:rPr>
            </w:pPr>
            <w:hyperlink r:id="rId42" w:anchor="top" w:history="1">
              <w:r w:rsidRPr="00AF0575">
                <w:rPr>
                  <w:rStyle w:val="Hyperlink"/>
                  <w:rFonts w:cs="Calibri"/>
                  <w:sz w:val="22"/>
                  <w:szCs w:val="22"/>
                </w:rPr>
                <w:t>Goals set out in the Plymouth Plan</w:t>
              </w:r>
            </w:hyperlink>
          </w:p>
        </w:tc>
        <w:tc>
          <w:tcPr>
            <w:tcW w:w="915" w:type="pct"/>
            <w:tcBorders>
              <w:top w:val="single" w:sz="4" w:space="0" w:color="auto"/>
              <w:left w:val="nil"/>
              <w:bottom w:val="single" w:sz="4" w:space="0" w:color="auto"/>
              <w:right w:val="single" w:sz="4" w:space="0" w:color="auto"/>
            </w:tcBorders>
            <w:shd w:val="clear" w:color="auto" w:fill="FFF2CC"/>
            <w:vAlign w:val="center"/>
          </w:tcPr>
          <w:p w14:paraId="018B5A33" w14:textId="32C91A47" w:rsidR="00D90B48" w:rsidRPr="00AF0575" w:rsidRDefault="00D90B48" w:rsidP="00D90B48">
            <w:pPr>
              <w:tabs>
                <w:tab w:val="clear" w:pos="0"/>
              </w:tabs>
              <w:spacing w:before="0"/>
              <w:jc w:val="center"/>
              <w:rPr>
                <w:rFonts w:cs="Calibri"/>
                <w:sz w:val="22"/>
                <w:szCs w:val="22"/>
              </w:rPr>
            </w:pPr>
            <w:r w:rsidRPr="00AF0575">
              <w:rPr>
                <w:rFonts w:cs="Calibri"/>
                <w:sz w:val="22"/>
                <w:szCs w:val="22"/>
              </w:rPr>
              <w:t>Co-produce decarbonisation plans and initiatives with partners from across the transport system.</w:t>
            </w:r>
          </w:p>
        </w:tc>
        <w:tc>
          <w:tcPr>
            <w:tcW w:w="1780" w:type="pct"/>
            <w:tcBorders>
              <w:top w:val="single" w:sz="4" w:space="0" w:color="auto"/>
              <w:left w:val="nil"/>
              <w:bottom w:val="single" w:sz="4" w:space="0" w:color="auto"/>
              <w:right w:val="single" w:sz="4" w:space="0" w:color="auto"/>
            </w:tcBorders>
            <w:shd w:val="clear" w:color="auto" w:fill="E2EFDA"/>
            <w:vAlign w:val="center"/>
          </w:tcPr>
          <w:p w14:paraId="5A0FF911" w14:textId="3101F9C1" w:rsidR="00D90B48" w:rsidRPr="00AF0575" w:rsidRDefault="00D90B48" w:rsidP="00D90B48">
            <w:pPr>
              <w:tabs>
                <w:tab w:val="clear" w:pos="0"/>
              </w:tabs>
              <w:spacing w:before="0"/>
              <w:jc w:val="center"/>
              <w:rPr>
                <w:rFonts w:cs="Calibri"/>
                <w:b/>
                <w:bCs/>
              </w:rPr>
            </w:pPr>
            <w:r w:rsidRPr="00AF0575">
              <w:rPr>
                <w:rFonts w:cs="Calibri"/>
                <w:b/>
                <w:bCs/>
              </w:rPr>
              <w:t>Work with regional (Peninsula Transport S</w:t>
            </w:r>
            <w:r>
              <w:rPr>
                <w:rFonts w:cs="Calibri"/>
                <w:b/>
                <w:bCs/>
              </w:rPr>
              <w:t xml:space="preserve">trategic </w:t>
            </w:r>
            <w:r w:rsidRPr="00AF0575">
              <w:rPr>
                <w:rFonts w:cs="Calibri"/>
                <w:b/>
                <w:bCs/>
              </w:rPr>
              <w:t>T</w:t>
            </w:r>
            <w:r>
              <w:rPr>
                <w:rFonts w:cs="Calibri"/>
                <w:b/>
                <w:bCs/>
              </w:rPr>
              <w:t xml:space="preserve">ransport </w:t>
            </w:r>
            <w:r w:rsidRPr="00AF0575">
              <w:rPr>
                <w:rFonts w:cs="Calibri"/>
                <w:b/>
                <w:bCs/>
              </w:rPr>
              <w:t>B</w:t>
            </w:r>
            <w:r>
              <w:rPr>
                <w:rFonts w:cs="Calibri"/>
                <w:b/>
                <w:bCs/>
              </w:rPr>
              <w:t>oard</w:t>
            </w:r>
            <w:r w:rsidRPr="00AF0575">
              <w:rPr>
                <w:rFonts w:cs="Calibri"/>
                <w:b/>
                <w:bCs/>
              </w:rPr>
              <w:t>) and national (Department for Transport-backed Coral programme) partners to explore opportunities for the widespread implementation of integrated ticketing systems on buses.</w:t>
            </w:r>
          </w:p>
        </w:tc>
        <w:tc>
          <w:tcPr>
            <w:tcW w:w="0" w:type="auto"/>
            <w:tcBorders>
              <w:top w:val="single" w:sz="4" w:space="0" w:color="auto"/>
              <w:left w:val="nil"/>
              <w:bottom w:val="single" w:sz="4" w:space="0" w:color="auto"/>
              <w:right w:val="single" w:sz="4" w:space="0" w:color="auto"/>
            </w:tcBorders>
            <w:shd w:val="clear" w:color="auto" w:fill="E2EFDA"/>
            <w:vAlign w:val="center"/>
          </w:tcPr>
          <w:p w14:paraId="31D2F744" w14:textId="0AEE37C6"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E2EFDA"/>
            <w:vAlign w:val="center"/>
          </w:tcPr>
          <w:p w14:paraId="0564B4D6" w14:textId="1B4C0622" w:rsidR="00D90B48" w:rsidRPr="00AF0575" w:rsidRDefault="00D90B48" w:rsidP="00D90B48">
            <w:pPr>
              <w:tabs>
                <w:tab w:val="clear" w:pos="0"/>
              </w:tabs>
              <w:spacing w:before="0"/>
              <w:jc w:val="center"/>
              <w:rPr>
                <w:rFonts w:cs="Calibri"/>
                <w:sz w:val="22"/>
                <w:szCs w:val="22"/>
              </w:rPr>
            </w:pPr>
            <w:r w:rsidRPr="00A94006">
              <w:rPr>
                <w:rFonts w:cs="Calibri"/>
                <w:sz w:val="22"/>
                <w:szCs w:val="22"/>
              </w:rPr>
              <w:t>Interim Strategic Director for Growth</w:t>
            </w:r>
          </w:p>
        </w:tc>
      </w:tr>
      <w:tr w:rsidR="00D90B48" w:rsidRPr="00AF0575" w14:paraId="744179CF" w14:textId="77777777" w:rsidTr="008A38B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E699"/>
            <w:vAlign w:val="center"/>
          </w:tcPr>
          <w:p w14:paraId="022A0866" w14:textId="77AD2528" w:rsidR="00D90B48" w:rsidRPr="00AF0575" w:rsidRDefault="00D90B48" w:rsidP="00D90B48">
            <w:pPr>
              <w:tabs>
                <w:tab w:val="clear" w:pos="0"/>
              </w:tabs>
              <w:spacing w:before="0"/>
              <w:jc w:val="center"/>
              <w:rPr>
                <w:rFonts w:cs="Calibri"/>
                <w:sz w:val="22"/>
                <w:szCs w:val="22"/>
              </w:rPr>
            </w:pPr>
            <w:r w:rsidRPr="00AF0575">
              <w:rPr>
                <w:rFonts w:cs="Calibri"/>
                <w:sz w:val="22"/>
                <w:szCs w:val="22"/>
              </w:rPr>
              <w:lastRenderedPageBreak/>
              <w:t>Behaviour Change</w:t>
            </w:r>
          </w:p>
        </w:tc>
        <w:tc>
          <w:tcPr>
            <w:tcW w:w="0" w:type="auto"/>
            <w:tcBorders>
              <w:top w:val="single" w:sz="4" w:space="0" w:color="auto"/>
              <w:left w:val="nil"/>
              <w:bottom w:val="single" w:sz="4" w:space="0" w:color="auto"/>
              <w:right w:val="single" w:sz="4" w:space="0" w:color="auto"/>
            </w:tcBorders>
            <w:shd w:val="clear" w:color="auto" w:fill="FFE699"/>
            <w:vAlign w:val="center"/>
          </w:tcPr>
          <w:p w14:paraId="2190D21A" w14:textId="6801DD7F" w:rsidR="00D90B48" w:rsidRPr="00AF0575" w:rsidRDefault="00D90B48" w:rsidP="00D90B48">
            <w:pPr>
              <w:tabs>
                <w:tab w:val="clear" w:pos="0"/>
              </w:tabs>
              <w:spacing w:before="0"/>
              <w:jc w:val="center"/>
              <w:rPr>
                <w:rFonts w:cs="Calibri"/>
                <w:sz w:val="22"/>
                <w:szCs w:val="22"/>
              </w:rPr>
            </w:pPr>
            <w:r w:rsidRPr="00AF0575">
              <w:rPr>
                <w:rFonts w:cs="Calibri"/>
                <w:sz w:val="22"/>
                <w:szCs w:val="22"/>
              </w:rPr>
              <w:t>BC1</w:t>
            </w:r>
          </w:p>
        </w:tc>
        <w:tc>
          <w:tcPr>
            <w:tcW w:w="621" w:type="pct"/>
            <w:tcBorders>
              <w:top w:val="single" w:sz="4" w:space="0" w:color="auto"/>
              <w:left w:val="nil"/>
              <w:bottom w:val="single" w:sz="4" w:space="0" w:color="auto"/>
              <w:right w:val="single" w:sz="4" w:space="0" w:color="auto"/>
            </w:tcBorders>
            <w:shd w:val="clear" w:color="auto" w:fill="FFE699"/>
            <w:vAlign w:val="center"/>
          </w:tcPr>
          <w:p w14:paraId="4BD8E6E5" w14:textId="43A0E9A8" w:rsidR="00D90B48" w:rsidRPr="00AF0575" w:rsidRDefault="00D90B48" w:rsidP="00D90B48">
            <w:pPr>
              <w:tabs>
                <w:tab w:val="clear" w:pos="0"/>
              </w:tabs>
              <w:spacing w:before="0"/>
              <w:jc w:val="center"/>
              <w:rPr>
                <w:rFonts w:cs="Calibri"/>
                <w:sz w:val="22"/>
                <w:szCs w:val="22"/>
              </w:rPr>
            </w:pPr>
            <w:r w:rsidRPr="00AF0575">
              <w:rPr>
                <w:rFonts w:cs="Calibri"/>
                <w:sz w:val="22"/>
                <w:szCs w:val="22"/>
              </w:rPr>
              <w:t>Provide a tailored programme of climate change training to 25% of our staff by end of 2026, including offering training to all members and senior managers.</w:t>
            </w:r>
          </w:p>
        </w:tc>
        <w:tc>
          <w:tcPr>
            <w:tcW w:w="915" w:type="pct"/>
            <w:tcBorders>
              <w:top w:val="single" w:sz="4" w:space="0" w:color="auto"/>
              <w:left w:val="nil"/>
              <w:bottom w:val="single" w:sz="4" w:space="0" w:color="auto"/>
              <w:right w:val="single" w:sz="4" w:space="0" w:color="auto"/>
            </w:tcBorders>
            <w:shd w:val="clear" w:color="auto" w:fill="FFE699"/>
            <w:vAlign w:val="center"/>
          </w:tcPr>
          <w:p w14:paraId="5B1EB98E" w14:textId="58BD0181" w:rsidR="00D90B48" w:rsidRPr="00AF0575" w:rsidRDefault="00D90B48" w:rsidP="00D90B48">
            <w:pPr>
              <w:tabs>
                <w:tab w:val="clear" w:pos="0"/>
              </w:tabs>
              <w:spacing w:before="0"/>
              <w:jc w:val="center"/>
              <w:rPr>
                <w:rFonts w:cs="Calibri"/>
                <w:sz w:val="22"/>
                <w:szCs w:val="22"/>
              </w:rPr>
            </w:pPr>
            <w:r w:rsidRPr="00AF0575">
              <w:rPr>
                <w:rFonts w:cs="Calibri"/>
                <w:sz w:val="22"/>
                <w:szCs w:val="22"/>
              </w:rPr>
              <w:t>Encourage our staff and members to adopt low carbon behaviours.</w:t>
            </w:r>
          </w:p>
        </w:tc>
        <w:tc>
          <w:tcPr>
            <w:tcW w:w="1780" w:type="pct"/>
            <w:tcBorders>
              <w:top w:val="single" w:sz="4" w:space="0" w:color="auto"/>
              <w:left w:val="nil"/>
              <w:bottom w:val="single" w:sz="4" w:space="0" w:color="auto"/>
              <w:right w:val="single" w:sz="4" w:space="0" w:color="auto"/>
            </w:tcBorders>
            <w:shd w:val="clear" w:color="auto" w:fill="FFE699"/>
            <w:vAlign w:val="center"/>
          </w:tcPr>
          <w:p w14:paraId="44C158AC" w14:textId="7FA32B0C" w:rsidR="00D90B48" w:rsidRPr="00AF0575" w:rsidRDefault="00D90B48" w:rsidP="00D90B48">
            <w:pPr>
              <w:tabs>
                <w:tab w:val="clear" w:pos="0"/>
              </w:tabs>
              <w:spacing w:before="0"/>
              <w:jc w:val="center"/>
              <w:rPr>
                <w:rFonts w:cs="Calibri"/>
                <w:b/>
                <w:bCs/>
              </w:rPr>
            </w:pPr>
            <w:r w:rsidRPr="00AF0575">
              <w:rPr>
                <w:rFonts w:cs="Calibri"/>
                <w:b/>
                <w:bCs/>
              </w:rPr>
              <w:t>Deliver a comprehensive employee engagement programme on climate change, mitigation and adaptation.</w:t>
            </w:r>
          </w:p>
        </w:tc>
        <w:tc>
          <w:tcPr>
            <w:tcW w:w="0" w:type="auto"/>
            <w:tcBorders>
              <w:top w:val="single" w:sz="4" w:space="0" w:color="auto"/>
              <w:left w:val="nil"/>
              <w:bottom w:val="single" w:sz="4" w:space="0" w:color="auto"/>
              <w:right w:val="single" w:sz="4" w:space="0" w:color="auto"/>
            </w:tcBorders>
            <w:shd w:val="clear" w:color="auto" w:fill="FFE699"/>
            <w:vAlign w:val="center"/>
          </w:tcPr>
          <w:p w14:paraId="4873A164" w14:textId="623B13AA"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FFE699"/>
            <w:vAlign w:val="center"/>
          </w:tcPr>
          <w:p w14:paraId="17034A2E" w14:textId="7071C5A9" w:rsidR="00D90B48" w:rsidRPr="00AF0575" w:rsidRDefault="00D90B48" w:rsidP="00D90B48">
            <w:pPr>
              <w:tabs>
                <w:tab w:val="clear" w:pos="0"/>
              </w:tabs>
              <w:spacing w:before="0"/>
              <w:jc w:val="center"/>
              <w:rPr>
                <w:rFonts w:cs="Calibri"/>
                <w:sz w:val="22"/>
                <w:szCs w:val="22"/>
              </w:rPr>
            </w:pPr>
            <w:r w:rsidRPr="00290925">
              <w:rPr>
                <w:rFonts w:cs="Calibri"/>
                <w:sz w:val="22"/>
                <w:szCs w:val="22"/>
              </w:rPr>
              <w:t>Interim Strategic Director for Growth</w:t>
            </w:r>
          </w:p>
        </w:tc>
      </w:tr>
      <w:tr w:rsidR="00D90B48" w:rsidRPr="00AF0575" w14:paraId="16455FC8"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F2CC"/>
            <w:vAlign w:val="center"/>
          </w:tcPr>
          <w:p w14:paraId="0EEAF5C2" w14:textId="2220B72C" w:rsidR="00D90B48" w:rsidRPr="0065354B" w:rsidRDefault="00D90B48" w:rsidP="00D90B48">
            <w:pPr>
              <w:tabs>
                <w:tab w:val="clear" w:pos="0"/>
              </w:tabs>
              <w:spacing w:before="0"/>
              <w:jc w:val="center"/>
              <w:rPr>
                <w:rFonts w:cs="Calibri"/>
                <w:sz w:val="22"/>
                <w:szCs w:val="22"/>
              </w:rPr>
            </w:pPr>
            <w:r w:rsidRPr="0065354B">
              <w:rPr>
                <w:rFonts w:cs="Calibri"/>
                <w:sz w:val="22"/>
                <w:szCs w:val="22"/>
              </w:rPr>
              <w:t>Behaviour Change</w:t>
            </w:r>
          </w:p>
        </w:tc>
        <w:tc>
          <w:tcPr>
            <w:tcW w:w="0" w:type="auto"/>
            <w:vMerge w:val="restart"/>
            <w:tcBorders>
              <w:top w:val="single" w:sz="4" w:space="0" w:color="auto"/>
              <w:left w:val="nil"/>
              <w:right w:val="single" w:sz="4" w:space="0" w:color="auto"/>
            </w:tcBorders>
            <w:shd w:val="clear" w:color="auto" w:fill="FFF2CC"/>
            <w:vAlign w:val="center"/>
          </w:tcPr>
          <w:p w14:paraId="66E2DB2E" w14:textId="4BA2BC4E" w:rsidR="00D90B48" w:rsidRPr="0065354B" w:rsidRDefault="00D90B48" w:rsidP="00D90B48">
            <w:pPr>
              <w:tabs>
                <w:tab w:val="clear" w:pos="0"/>
              </w:tabs>
              <w:spacing w:before="0"/>
              <w:jc w:val="center"/>
              <w:rPr>
                <w:rFonts w:cs="Calibri"/>
                <w:sz w:val="22"/>
                <w:szCs w:val="22"/>
              </w:rPr>
            </w:pPr>
            <w:r w:rsidRPr="0065354B">
              <w:rPr>
                <w:rFonts w:cs="Calibri"/>
                <w:sz w:val="22"/>
                <w:szCs w:val="22"/>
              </w:rPr>
              <w:t>BC2</w:t>
            </w:r>
          </w:p>
        </w:tc>
        <w:tc>
          <w:tcPr>
            <w:tcW w:w="621" w:type="pct"/>
            <w:vMerge w:val="restart"/>
            <w:tcBorders>
              <w:top w:val="single" w:sz="4" w:space="0" w:color="auto"/>
              <w:left w:val="nil"/>
              <w:right w:val="single" w:sz="4" w:space="0" w:color="auto"/>
            </w:tcBorders>
            <w:shd w:val="clear" w:color="auto" w:fill="FFF2CC"/>
            <w:vAlign w:val="center"/>
          </w:tcPr>
          <w:p w14:paraId="39EC70E8" w14:textId="77777777" w:rsidR="00D90B48" w:rsidRPr="0065354B" w:rsidRDefault="00D90B48" w:rsidP="00D90B48">
            <w:pPr>
              <w:tabs>
                <w:tab w:val="clear" w:pos="0"/>
              </w:tabs>
              <w:spacing w:before="0"/>
              <w:jc w:val="center"/>
              <w:rPr>
                <w:rFonts w:cs="Calibri"/>
                <w:sz w:val="22"/>
                <w:szCs w:val="22"/>
              </w:rPr>
            </w:pPr>
            <w:r w:rsidRPr="0065354B">
              <w:rPr>
                <w:rFonts w:cs="Calibri"/>
                <w:sz w:val="22"/>
                <w:szCs w:val="22"/>
              </w:rPr>
              <w:t xml:space="preserve">Achieve at least 150 members in the Who's Who section of Climate Connections by end of 2025. </w:t>
            </w:r>
            <w:r w:rsidRPr="0065354B">
              <w:rPr>
                <w:rFonts w:cs="Calibri"/>
                <w:sz w:val="22"/>
                <w:szCs w:val="22"/>
              </w:rPr>
              <w:br/>
              <w:t>Deliver year on year increase in the number of users engaging with the Climate Connections website.</w:t>
            </w:r>
          </w:p>
          <w:p w14:paraId="27FF6D65" w14:textId="215C703C" w:rsidR="00D90B48" w:rsidRPr="0065354B" w:rsidRDefault="00D90B48" w:rsidP="00D90B48">
            <w:pPr>
              <w:tabs>
                <w:tab w:val="clear" w:pos="0"/>
              </w:tabs>
              <w:spacing w:before="0"/>
              <w:jc w:val="center"/>
              <w:rPr>
                <w:rFonts w:cs="Calibri"/>
                <w:sz w:val="22"/>
                <w:szCs w:val="22"/>
              </w:rPr>
            </w:pPr>
            <w:r w:rsidRPr="0065354B">
              <w:rPr>
                <w:rFonts w:cs="Calibri"/>
                <w:sz w:val="22"/>
                <w:szCs w:val="22"/>
              </w:rPr>
              <w:t xml:space="preserve">Work towards the Plymouth Plan target of 65% recycling rate by </w:t>
            </w:r>
            <w:r w:rsidRPr="0065354B">
              <w:rPr>
                <w:rFonts w:cs="Calibri"/>
                <w:sz w:val="22"/>
                <w:szCs w:val="22"/>
              </w:rPr>
              <w:lastRenderedPageBreak/>
              <w:t>2034, with a goal to achieve 53% by 2030.</w:t>
            </w:r>
          </w:p>
        </w:tc>
        <w:tc>
          <w:tcPr>
            <w:tcW w:w="915" w:type="pct"/>
            <w:vMerge w:val="restart"/>
            <w:tcBorders>
              <w:top w:val="single" w:sz="4" w:space="0" w:color="auto"/>
              <w:left w:val="nil"/>
              <w:right w:val="single" w:sz="4" w:space="0" w:color="auto"/>
            </w:tcBorders>
            <w:shd w:val="clear" w:color="auto" w:fill="FFF2CC"/>
            <w:vAlign w:val="center"/>
          </w:tcPr>
          <w:p w14:paraId="0D1494EF" w14:textId="370C320E" w:rsidR="00D90B48" w:rsidRPr="0065354B" w:rsidRDefault="00D90B48" w:rsidP="00D90B48">
            <w:pPr>
              <w:tabs>
                <w:tab w:val="clear" w:pos="0"/>
              </w:tabs>
              <w:spacing w:before="0"/>
              <w:jc w:val="center"/>
              <w:rPr>
                <w:rFonts w:cs="Calibri"/>
                <w:sz w:val="22"/>
                <w:szCs w:val="22"/>
              </w:rPr>
            </w:pPr>
            <w:r w:rsidRPr="0065354B">
              <w:rPr>
                <w:rFonts w:cs="Calibri"/>
                <w:sz w:val="22"/>
                <w:szCs w:val="22"/>
              </w:rPr>
              <w:lastRenderedPageBreak/>
              <w:t>Develop and deliver an inclusive programme of engagement with the community in collaboration with the Plymouth Net Zero Partnership.</w:t>
            </w:r>
          </w:p>
        </w:tc>
        <w:tc>
          <w:tcPr>
            <w:tcW w:w="1780" w:type="pct"/>
            <w:tcBorders>
              <w:top w:val="single" w:sz="4" w:space="0" w:color="auto"/>
              <w:left w:val="nil"/>
              <w:bottom w:val="single" w:sz="4" w:space="0" w:color="auto"/>
              <w:right w:val="single" w:sz="4" w:space="0" w:color="auto"/>
            </w:tcBorders>
            <w:shd w:val="clear" w:color="auto" w:fill="FFF2CC"/>
            <w:vAlign w:val="center"/>
          </w:tcPr>
          <w:p w14:paraId="69A2551C" w14:textId="7147E198" w:rsidR="00D90B48" w:rsidRPr="0065354B" w:rsidRDefault="00D90B48" w:rsidP="00D90B48">
            <w:pPr>
              <w:tabs>
                <w:tab w:val="clear" w:pos="0"/>
              </w:tabs>
              <w:spacing w:before="0"/>
              <w:jc w:val="center"/>
              <w:rPr>
                <w:rFonts w:cs="Calibri"/>
                <w:b/>
                <w:bCs/>
                <w:sz w:val="22"/>
                <w:szCs w:val="22"/>
              </w:rPr>
            </w:pPr>
            <w:r w:rsidRPr="00CF4F95">
              <w:rPr>
                <w:rFonts w:cs="Calibri"/>
                <w:b/>
                <w:bCs/>
              </w:rPr>
              <w:t>Deliver a Plymouth Net Zero engagement plan in collaboration with the Plymouth Net Zero Partnership (PNZP) and facilitate PNZP Engagement working group.</w:t>
            </w:r>
          </w:p>
        </w:tc>
        <w:tc>
          <w:tcPr>
            <w:tcW w:w="0" w:type="auto"/>
            <w:tcBorders>
              <w:top w:val="single" w:sz="4" w:space="0" w:color="auto"/>
              <w:left w:val="nil"/>
              <w:bottom w:val="single" w:sz="4" w:space="0" w:color="auto"/>
              <w:right w:val="single" w:sz="4" w:space="0" w:color="auto"/>
            </w:tcBorders>
            <w:shd w:val="clear" w:color="auto" w:fill="FFF2CC"/>
            <w:vAlign w:val="center"/>
          </w:tcPr>
          <w:p w14:paraId="13A80D88" w14:textId="6D19EB53" w:rsidR="00D90B48" w:rsidRPr="0065354B" w:rsidRDefault="00D90B48" w:rsidP="00D90B48">
            <w:pPr>
              <w:tabs>
                <w:tab w:val="clear" w:pos="0"/>
              </w:tabs>
              <w:spacing w:before="0"/>
              <w:jc w:val="center"/>
              <w:rPr>
                <w:rFonts w:cs="Calibri"/>
                <w:b/>
                <w:bCs/>
                <w:sz w:val="22"/>
                <w:szCs w:val="22"/>
              </w:rPr>
            </w:pPr>
            <w:r w:rsidRPr="0065354B">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FFF2CC"/>
            <w:vAlign w:val="center"/>
          </w:tcPr>
          <w:p w14:paraId="311BE5A3" w14:textId="6B013515" w:rsidR="00D90B48" w:rsidRPr="0065354B" w:rsidRDefault="00D90B48" w:rsidP="00D90B48">
            <w:pPr>
              <w:tabs>
                <w:tab w:val="clear" w:pos="0"/>
              </w:tabs>
              <w:spacing w:before="0"/>
              <w:jc w:val="center"/>
              <w:rPr>
                <w:rFonts w:cs="Calibri"/>
                <w:sz w:val="22"/>
                <w:szCs w:val="22"/>
              </w:rPr>
            </w:pPr>
            <w:r w:rsidRPr="00290925">
              <w:rPr>
                <w:rFonts w:cs="Calibri"/>
                <w:sz w:val="22"/>
                <w:szCs w:val="22"/>
              </w:rPr>
              <w:t>Interim Strategic Director for Growth</w:t>
            </w:r>
          </w:p>
        </w:tc>
      </w:tr>
      <w:tr w:rsidR="00AB54E4" w:rsidRPr="00AF0575" w14:paraId="6EBE4161" w14:textId="77777777" w:rsidTr="008A38B7">
        <w:trPr>
          <w:cantSplit/>
          <w:jc w:val="center"/>
        </w:trPr>
        <w:tc>
          <w:tcPr>
            <w:tcW w:w="0" w:type="auto"/>
            <w:vMerge/>
            <w:tcBorders>
              <w:left w:val="single" w:sz="4" w:space="0" w:color="auto"/>
              <w:right w:val="single" w:sz="4" w:space="0" w:color="auto"/>
            </w:tcBorders>
            <w:shd w:val="clear" w:color="auto" w:fill="FFF2CC"/>
            <w:vAlign w:val="center"/>
          </w:tcPr>
          <w:p w14:paraId="7E782CA8" w14:textId="2214708A" w:rsidR="00B36EEE" w:rsidRPr="0065354B" w:rsidRDefault="00B36EEE" w:rsidP="00B36EEE">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F2CC"/>
            <w:vAlign w:val="center"/>
          </w:tcPr>
          <w:p w14:paraId="6356214A" w14:textId="052E27F1" w:rsidR="00B36EEE" w:rsidRPr="0065354B" w:rsidRDefault="00B36EEE" w:rsidP="00B36EEE">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F2CC"/>
            <w:vAlign w:val="center"/>
          </w:tcPr>
          <w:p w14:paraId="7A480240" w14:textId="56BEF8CE" w:rsidR="00B36EEE" w:rsidRPr="0065354B" w:rsidRDefault="00B36EEE" w:rsidP="00B36EEE">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F2CC"/>
            <w:vAlign w:val="center"/>
          </w:tcPr>
          <w:p w14:paraId="378B4072" w14:textId="775BCFC6" w:rsidR="00B36EEE" w:rsidRPr="0065354B" w:rsidRDefault="00B36EEE" w:rsidP="00B36EEE">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FFF2CC"/>
            <w:vAlign w:val="center"/>
          </w:tcPr>
          <w:p w14:paraId="74341E2B" w14:textId="314BDAE1" w:rsidR="00B36EEE" w:rsidRPr="00CF4F95" w:rsidRDefault="00B36EEE" w:rsidP="00B36EEE">
            <w:pPr>
              <w:tabs>
                <w:tab w:val="clear" w:pos="0"/>
              </w:tabs>
              <w:spacing w:before="0"/>
              <w:jc w:val="center"/>
              <w:rPr>
                <w:rFonts w:cs="Calibri"/>
                <w:b/>
                <w:bCs/>
              </w:rPr>
            </w:pPr>
            <w:r w:rsidRPr="00CF4F95">
              <w:rPr>
                <w:rFonts w:cs="Calibri"/>
                <w:b/>
                <w:bCs/>
              </w:rPr>
              <w:t>Collaborate, as part of the Food Plymouth Partnership and Network, on improving access to low carbon food choices and work towards achieving the Sustainable Food Places Gold award.</w:t>
            </w:r>
          </w:p>
        </w:tc>
        <w:tc>
          <w:tcPr>
            <w:tcW w:w="0" w:type="auto"/>
            <w:tcBorders>
              <w:top w:val="single" w:sz="4" w:space="0" w:color="auto"/>
              <w:left w:val="nil"/>
              <w:bottom w:val="single" w:sz="4" w:space="0" w:color="auto"/>
              <w:right w:val="single" w:sz="4" w:space="0" w:color="auto"/>
            </w:tcBorders>
            <w:shd w:val="clear" w:color="auto" w:fill="FFF2CC"/>
            <w:vAlign w:val="center"/>
          </w:tcPr>
          <w:p w14:paraId="0E763FC6" w14:textId="3462024A" w:rsidR="00B36EEE" w:rsidRPr="0065354B" w:rsidRDefault="00B36EEE" w:rsidP="00B36EEE">
            <w:pPr>
              <w:tabs>
                <w:tab w:val="clear" w:pos="0"/>
              </w:tabs>
              <w:spacing w:before="0"/>
              <w:jc w:val="center"/>
              <w:rPr>
                <w:rFonts w:cs="Calibri"/>
                <w:b/>
                <w:bCs/>
                <w:sz w:val="22"/>
                <w:szCs w:val="22"/>
              </w:rPr>
            </w:pPr>
            <w:r w:rsidRPr="0065354B">
              <w:rPr>
                <w:rFonts w:cs="Calibri"/>
                <w:b/>
                <w:bCs/>
                <w:sz w:val="22"/>
                <w:szCs w:val="22"/>
              </w:rPr>
              <w:t>2025-27</w:t>
            </w:r>
          </w:p>
        </w:tc>
        <w:tc>
          <w:tcPr>
            <w:tcW w:w="0" w:type="auto"/>
            <w:tcBorders>
              <w:top w:val="single" w:sz="4" w:space="0" w:color="auto"/>
              <w:left w:val="nil"/>
              <w:bottom w:val="single" w:sz="4" w:space="0" w:color="auto"/>
              <w:right w:val="single" w:sz="4" w:space="0" w:color="auto"/>
            </w:tcBorders>
            <w:shd w:val="clear" w:color="auto" w:fill="FFF2CC"/>
            <w:vAlign w:val="center"/>
          </w:tcPr>
          <w:p w14:paraId="697954FC" w14:textId="7B80A605" w:rsidR="00B36EEE" w:rsidRPr="0065354B" w:rsidRDefault="00B36EEE" w:rsidP="00D90B48">
            <w:pPr>
              <w:tabs>
                <w:tab w:val="clear" w:pos="0"/>
              </w:tabs>
              <w:spacing w:before="0"/>
              <w:jc w:val="center"/>
              <w:rPr>
                <w:rFonts w:cs="Calibri"/>
                <w:sz w:val="22"/>
                <w:szCs w:val="22"/>
              </w:rPr>
            </w:pPr>
            <w:r w:rsidRPr="0065354B">
              <w:rPr>
                <w:rFonts w:cs="Calibri"/>
                <w:sz w:val="22"/>
                <w:szCs w:val="22"/>
              </w:rPr>
              <w:t>Director of Public Health</w:t>
            </w:r>
          </w:p>
        </w:tc>
      </w:tr>
      <w:tr w:rsidR="00D90B48" w:rsidRPr="00AF0575" w14:paraId="363C5784" w14:textId="77777777" w:rsidTr="008A38B7">
        <w:trPr>
          <w:cantSplit/>
          <w:jc w:val="center"/>
        </w:trPr>
        <w:tc>
          <w:tcPr>
            <w:tcW w:w="0" w:type="auto"/>
            <w:vMerge/>
            <w:tcBorders>
              <w:left w:val="single" w:sz="4" w:space="0" w:color="auto"/>
              <w:right w:val="single" w:sz="4" w:space="0" w:color="auto"/>
            </w:tcBorders>
            <w:shd w:val="clear" w:color="auto" w:fill="FFF2CC"/>
            <w:vAlign w:val="center"/>
          </w:tcPr>
          <w:p w14:paraId="13DF0D6B" w14:textId="77777777" w:rsidR="00D90B48" w:rsidRPr="0065354B"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F2CC"/>
            <w:vAlign w:val="center"/>
          </w:tcPr>
          <w:p w14:paraId="6F1279FD" w14:textId="77777777" w:rsidR="00D90B48" w:rsidRPr="0065354B"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F2CC"/>
            <w:vAlign w:val="center"/>
          </w:tcPr>
          <w:p w14:paraId="32DEE0FD" w14:textId="77777777" w:rsidR="00D90B48" w:rsidRPr="0065354B"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F2CC"/>
            <w:vAlign w:val="center"/>
          </w:tcPr>
          <w:p w14:paraId="2B6A09FA" w14:textId="77777777" w:rsidR="00D90B48" w:rsidRPr="0065354B" w:rsidRDefault="00D90B48" w:rsidP="00D90B48">
            <w:pPr>
              <w:tabs>
                <w:tab w:val="clear" w:pos="0"/>
              </w:tabs>
              <w:spacing w:before="0"/>
              <w:jc w:val="center"/>
              <w:rPr>
                <w:rFonts w:cs="Calibri"/>
                <w:sz w:val="22"/>
                <w:szCs w:val="22"/>
              </w:rPr>
            </w:pPr>
          </w:p>
        </w:tc>
        <w:tc>
          <w:tcPr>
            <w:tcW w:w="178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0D7AEA" w14:textId="1925D511" w:rsidR="00D90B48" w:rsidRPr="00CF4F95" w:rsidRDefault="00D90B48" w:rsidP="00D90B48">
            <w:pPr>
              <w:tabs>
                <w:tab w:val="clear" w:pos="0"/>
              </w:tabs>
              <w:spacing w:before="0"/>
              <w:jc w:val="center"/>
              <w:rPr>
                <w:rFonts w:cs="Calibri"/>
                <w:b/>
                <w:bCs/>
              </w:rPr>
            </w:pPr>
            <w:r w:rsidRPr="00CF4F95">
              <w:rPr>
                <w:rFonts w:cs="Calibri"/>
                <w:b/>
                <w:bCs/>
              </w:rPr>
              <w:t xml:space="preserve">Recruit recycling officers to engage with communities to maximise opportunities for increasing recycling levels and compliance with the city council’s waste collection scheme. </w:t>
            </w:r>
          </w:p>
        </w:tc>
        <w:tc>
          <w:tcPr>
            <w:tcW w:w="0" w:type="auto"/>
            <w:tcBorders>
              <w:top w:val="single" w:sz="4" w:space="0" w:color="auto"/>
              <w:left w:val="nil"/>
              <w:bottom w:val="single" w:sz="4" w:space="0" w:color="auto"/>
              <w:right w:val="single" w:sz="4" w:space="0" w:color="auto"/>
            </w:tcBorders>
            <w:shd w:val="clear" w:color="auto" w:fill="EAF1DD" w:themeFill="accent3" w:themeFillTint="33"/>
            <w:vAlign w:val="center"/>
          </w:tcPr>
          <w:p w14:paraId="0631143D" w14:textId="004C073A" w:rsidR="00D90B48" w:rsidRPr="00DE26A4" w:rsidRDefault="00D90B48" w:rsidP="00D90B48">
            <w:pPr>
              <w:tabs>
                <w:tab w:val="clear" w:pos="0"/>
              </w:tabs>
              <w:spacing w:before="0"/>
              <w:jc w:val="center"/>
              <w:rPr>
                <w:rFonts w:cs="Calibri"/>
                <w:b/>
                <w:bCs/>
                <w:sz w:val="22"/>
                <w:szCs w:val="22"/>
              </w:rPr>
            </w:pPr>
            <w:r w:rsidRPr="00DE26A4">
              <w:rPr>
                <w:rFonts w:cs="Calibri"/>
                <w:b/>
                <w:bCs/>
                <w:sz w:val="22"/>
                <w:szCs w:val="22"/>
              </w:rPr>
              <w:t>2025-28</w:t>
            </w:r>
          </w:p>
        </w:tc>
        <w:tc>
          <w:tcPr>
            <w:tcW w:w="0" w:type="auto"/>
            <w:tcBorders>
              <w:top w:val="single" w:sz="4" w:space="0" w:color="auto"/>
              <w:left w:val="nil"/>
              <w:bottom w:val="single" w:sz="4" w:space="0" w:color="auto"/>
              <w:right w:val="single" w:sz="4" w:space="0" w:color="auto"/>
            </w:tcBorders>
            <w:shd w:val="clear" w:color="auto" w:fill="EAF1DD" w:themeFill="accent3" w:themeFillTint="33"/>
            <w:vAlign w:val="center"/>
          </w:tcPr>
          <w:p w14:paraId="23E2289A" w14:textId="16B95EE6" w:rsidR="00D90B48" w:rsidRPr="00AB54E4" w:rsidRDefault="00D90B48" w:rsidP="00D90B48">
            <w:pPr>
              <w:tabs>
                <w:tab w:val="clear" w:pos="0"/>
              </w:tabs>
              <w:spacing w:before="0"/>
              <w:jc w:val="center"/>
              <w:rPr>
                <w:rFonts w:cs="Calibri"/>
                <w:sz w:val="22"/>
                <w:szCs w:val="22"/>
              </w:rPr>
            </w:pPr>
            <w:r w:rsidRPr="00A45DBA">
              <w:rPr>
                <w:rFonts w:cs="Calibri"/>
                <w:sz w:val="22"/>
                <w:szCs w:val="22"/>
              </w:rPr>
              <w:t>Interim Strategic Director for Growth</w:t>
            </w:r>
          </w:p>
        </w:tc>
      </w:tr>
      <w:tr w:rsidR="00D90B48" w:rsidRPr="00AF0575" w14:paraId="0682517C"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2C66A4B3" w14:textId="77777777" w:rsidR="00D90B48" w:rsidRPr="0065354B"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78C933AD" w14:textId="77777777" w:rsidR="00D90B48" w:rsidRPr="0065354B"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59D06D15" w14:textId="77777777" w:rsidR="00D90B48" w:rsidRPr="0065354B"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2BF59493" w14:textId="77777777" w:rsidR="00D90B48" w:rsidRPr="0065354B" w:rsidRDefault="00D90B48" w:rsidP="00D90B48">
            <w:pPr>
              <w:tabs>
                <w:tab w:val="clear" w:pos="0"/>
              </w:tabs>
              <w:spacing w:before="0"/>
              <w:jc w:val="center"/>
              <w:rPr>
                <w:rFonts w:cs="Calibri"/>
                <w:sz w:val="22"/>
                <w:szCs w:val="22"/>
              </w:rPr>
            </w:pPr>
          </w:p>
        </w:tc>
        <w:tc>
          <w:tcPr>
            <w:tcW w:w="1780" w:type="pct"/>
            <w:tcBorders>
              <w:top w:val="nil"/>
              <w:left w:val="single" w:sz="4" w:space="0" w:color="auto"/>
              <w:bottom w:val="single" w:sz="4" w:space="0" w:color="auto"/>
              <w:right w:val="single" w:sz="4" w:space="0" w:color="auto"/>
            </w:tcBorders>
            <w:shd w:val="clear" w:color="000000" w:fill="FFE699"/>
            <w:vAlign w:val="center"/>
          </w:tcPr>
          <w:p w14:paraId="07518BFF" w14:textId="48213957" w:rsidR="00D90B48" w:rsidRPr="00CF4F95" w:rsidRDefault="00D90B48" w:rsidP="00D90B48">
            <w:pPr>
              <w:tabs>
                <w:tab w:val="clear" w:pos="0"/>
              </w:tabs>
              <w:spacing w:before="0"/>
              <w:jc w:val="center"/>
              <w:rPr>
                <w:rFonts w:cs="Calibri"/>
                <w:b/>
                <w:bCs/>
              </w:rPr>
            </w:pPr>
            <w:r w:rsidRPr="00CF4F95">
              <w:rPr>
                <w:rFonts w:cs="Calibri"/>
                <w:b/>
                <w:bCs/>
              </w:rPr>
              <w:t xml:space="preserve">Deliver a weekly kerbside food waste collection service to Plymouth households in line with Government legislation and guidance. </w:t>
            </w:r>
          </w:p>
        </w:tc>
        <w:tc>
          <w:tcPr>
            <w:tcW w:w="0" w:type="auto"/>
            <w:tcBorders>
              <w:top w:val="nil"/>
              <w:left w:val="nil"/>
              <w:bottom w:val="single" w:sz="4" w:space="0" w:color="auto"/>
              <w:right w:val="single" w:sz="4" w:space="0" w:color="auto"/>
            </w:tcBorders>
            <w:shd w:val="clear" w:color="000000" w:fill="FFE699"/>
            <w:vAlign w:val="center"/>
          </w:tcPr>
          <w:p w14:paraId="5E7458C7" w14:textId="51440C2E" w:rsidR="00D90B48" w:rsidRPr="00DE26A4" w:rsidRDefault="00D90B48" w:rsidP="00D90B48">
            <w:pPr>
              <w:tabs>
                <w:tab w:val="clear" w:pos="0"/>
              </w:tabs>
              <w:spacing w:before="0"/>
              <w:jc w:val="center"/>
              <w:rPr>
                <w:rFonts w:cs="Calibri"/>
                <w:b/>
                <w:bCs/>
                <w:sz w:val="22"/>
                <w:szCs w:val="22"/>
              </w:rPr>
            </w:pPr>
            <w:r w:rsidRPr="00DE26A4">
              <w:rPr>
                <w:rFonts w:cs="Calibri"/>
                <w:b/>
                <w:bCs/>
                <w:sz w:val="22"/>
                <w:szCs w:val="22"/>
              </w:rPr>
              <w:t>2026/27</w:t>
            </w:r>
          </w:p>
        </w:tc>
        <w:tc>
          <w:tcPr>
            <w:tcW w:w="0" w:type="auto"/>
            <w:tcBorders>
              <w:top w:val="nil"/>
              <w:left w:val="nil"/>
              <w:bottom w:val="single" w:sz="4" w:space="0" w:color="auto"/>
              <w:right w:val="single" w:sz="4" w:space="0" w:color="auto"/>
            </w:tcBorders>
            <w:shd w:val="clear" w:color="000000" w:fill="FFE699"/>
            <w:vAlign w:val="center"/>
          </w:tcPr>
          <w:p w14:paraId="307EAB67" w14:textId="533DC6A4" w:rsidR="00D90B48" w:rsidRPr="00AB54E4" w:rsidRDefault="00D90B48" w:rsidP="00D90B48">
            <w:pPr>
              <w:tabs>
                <w:tab w:val="clear" w:pos="0"/>
              </w:tabs>
              <w:spacing w:before="0"/>
              <w:jc w:val="center"/>
              <w:rPr>
                <w:rFonts w:cs="Calibri"/>
                <w:sz w:val="22"/>
                <w:szCs w:val="22"/>
              </w:rPr>
            </w:pPr>
            <w:r w:rsidRPr="00A45DBA">
              <w:rPr>
                <w:rFonts w:cs="Calibri"/>
                <w:sz w:val="22"/>
                <w:szCs w:val="22"/>
              </w:rPr>
              <w:t>Interim Strategic Director for Growth</w:t>
            </w:r>
          </w:p>
        </w:tc>
      </w:tr>
      <w:tr w:rsidR="00D90B48" w:rsidRPr="00AF0575" w14:paraId="538C4662" w14:textId="77777777" w:rsidTr="008A38B7">
        <w:trPr>
          <w:cantSplit/>
          <w:jc w:val="center"/>
        </w:trPr>
        <w:tc>
          <w:tcPr>
            <w:tcW w:w="0" w:type="auto"/>
            <w:vMerge/>
            <w:tcBorders>
              <w:left w:val="single" w:sz="4" w:space="0" w:color="auto"/>
              <w:right w:val="single" w:sz="4" w:space="0" w:color="auto"/>
            </w:tcBorders>
            <w:shd w:val="clear" w:color="auto" w:fill="FFE699"/>
            <w:vAlign w:val="center"/>
          </w:tcPr>
          <w:p w14:paraId="62E789C6" w14:textId="77777777" w:rsidR="00D90B48" w:rsidRPr="0065354B" w:rsidRDefault="00D90B48" w:rsidP="00D90B48">
            <w:pPr>
              <w:tabs>
                <w:tab w:val="clear" w:pos="0"/>
              </w:tabs>
              <w:spacing w:before="0"/>
              <w:jc w:val="center"/>
              <w:rPr>
                <w:rFonts w:cs="Calibri"/>
                <w:sz w:val="22"/>
                <w:szCs w:val="22"/>
              </w:rPr>
            </w:pPr>
          </w:p>
        </w:tc>
        <w:tc>
          <w:tcPr>
            <w:tcW w:w="0" w:type="auto"/>
            <w:vMerge/>
            <w:tcBorders>
              <w:left w:val="nil"/>
              <w:right w:val="single" w:sz="4" w:space="0" w:color="auto"/>
            </w:tcBorders>
            <w:shd w:val="clear" w:color="auto" w:fill="FFE699"/>
            <w:vAlign w:val="center"/>
          </w:tcPr>
          <w:p w14:paraId="679D5ABA" w14:textId="77777777" w:rsidR="00D90B48" w:rsidRPr="0065354B" w:rsidRDefault="00D90B48" w:rsidP="00D90B48">
            <w:pPr>
              <w:tabs>
                <w:tab w:val="clear" w:pos="0"/>
              </w:tabs>
              <w:spacing w:before="0"/>
              <w:jc w:val="center"/>
              <w:rPr>
                <w:rFonts w:cs="Calibri"/>
                <w:sz w:val="22"/>
                <w:szCs w:val="22"/>
              </w:rPr>
            </w:pPr>
          </w:p>
        </w:tc>
        <w:tc>
          <w:tcPr>
            <w:tcW w:w="621" w:type="pct"/>
            <w:vMerge/>
            <w:tcBorders>
              <w:left w:val="nil"/>
              <w:right w:val="single" w:sz="4" w:space="0" w:color="auto"/>
            </w:tcBorders>
            <w:shd w:val="clear" w:color="auto" w:fill="FFE699"/>
            <w:vAlign w:val="center"/>
          </w:tcPr>
          <w:p w14:paraId="1AAE7DB2" w14:textId="77777777" w:rsidR="00D90B48" w:rsidRPr="0065354B" w:rsidRDefault="00D90B48" w:rsidP="00D90B48">
            <w:pPr>
              <w:tabs>
                <w:tab w:val="clear" w:pos="0"/>
              </w:tabs>
              <w:spacing w:before="0"/>
              <w:jc w:val="center"/>
              <w:rPr>
                <w:rFonts w:cs="Calibri"/>
                <w:sz w:val="22"/>
                <w:szCs w:val="22"/>
              </w:rPr>
            </w:pPr>
          </w:p>
        </w:tc>
        <w:tc>
          <w:tcPr>
            <w:tcW w:w="915" w:type="pct"/>
            <w:vMerge/>
            <w:tcBorders>
              <w:left w:val="nil"/>
              <w:right w:val="single" w:sz="4" w:space="0" w:color="auto"/>
            </w:tcBorders>
            <w:shd w:val="clear" w:color="auto" w:fill="FFE699"/>
            <w:vAlign w:val="center"/>
          </w:tcPr>
          <w:p w14:paraId="3318CD43" w14:textId="77777777" w:rsidR="00D90B48" w:rsidRPr="0065354B"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598754A3" w14:textId="7AC0C340" w:rsidR="00D90B48" w:rsidRPr="00CF4F95" w:rsidRDefault="00D90B48" w:rsidP="00D90B48">
            <w:pPr>
              <w:tabs>
                <w:tab w:val="clear" w:pos="0"/>
              </w:tabs>
              <w:spacing w:before="0"/>
              <w:jc w:val="center"/>
              <w:rPr>
                <w:rFonts w:cs="Calibri"/>
                <w:b/>
                <w:bCs/>
              </w:rPr>
            </w:pPr>
            <w:r w:rsidRPr="00CF4F95">
              <w:rPr>
                <w:rFonts w:cs="Calibri"/>
                <w:b/>
                <w:bCs/>
              </w:rPr>
              <w:t>Pursue all funding opportunities to allow the continued provision of the Plymotion behaviour change programme.</w:t>
            </w:r>
          </w:p>
        </w:tc>
        <w:tc>
          <w:tcPr>
            <w:tcW w:w="0" w:type="auto"/>
            <w:tcBorders>
              <w:top w:val="single" w:sz="4" w:space="0" w:color="auto"/>
              <w:left w:val="nil"/>
              <w:bottom w:val="single" w:sz="4" w:space="0" w:color="auto"/>
              <w:right w:val="single" w:sz="4" w:space="0" w:color="auto"/>
            </w:tcBorders>
            <w:shd w:val="clear" w:color="auto" w:fill="E2EFDA"/>
            <w:vAlign w:val="center"/>
          </w:tcPr>
          <w:p w14:paraId="37C6CE20" w14:textId="500F7246" w:rsidR="00D90B48" w:rsidRPr="0065354B" w:rsidRDefault="00D90B48" w:rsidP="00D90B48">
            <w:pPr>
              <w:tabs>
                <w:tab w:val="clear" w:pos="0"/>
              </w:tabs>
              <w:spacing w:before="0"/>
              <w:jc w:val="center"/>
              <w:rPr>
                <w:rFonts w:cs="Calibri"/>
                <w:b/>
                <w:bCs/>
                <w:sz w:val="22"/>
                <w:szCs w:val="22"/>
              </w:rPr>
            </w:pPr>
            <w:r w:rsidRPr="0065354B">
              <w:rPr>
                <w:rFonts w:cs="Calibri"/>
                <w:b/>
                <w:bCs/>
                <w:sz w:val="22"/>
                <w:szCs w:val="22"/>
              </w:rPr>
              <w:t xml:space="preserve"> 2025/26</w:t>
            </w:r>
          </w:p>
        </w:tc>
        <w:tc>
          <w:tcPr>
            <w:tcW w:w="0" w:type="auto"/>
            <w:tcBorders>
              <w:top w:val="single" w:sz="4" w:space="0" w:color="auto"/>
              <w:left w:val="nil"/>
              <w:bottom w:val="single" w:sz="4" w:space="0" w:color="auto"/>
              <w:right w:val="single" w:sz="4" w:space="0" w:color="auto"/>
            </w:tcBorders>
            <w:shd w:val="clear" w:color="auto" w:fill="E2EFDA"/>
            <w:vAlign w:val="center"/>
          </w:tcPr>
          <w:p w14:paraId="60DE8474" w14:textId="54E4B1F5" w:rsidR="00D90B48" w:rsidRPr="0065354B" w:rsidRDefault="00D90B48" w:rsidP="00D90B48">
            <w:pPr>
              <w:tabs>
                <w:tab w:val="clear" w:pos="0"/>
              </w:tabs>
              <w:spacing w:before="0"/>
              <w:jc w:val="center"/>
              <w:rPr>
                <w:rFonts w:cs="Calibri"/>
                <w:sz w:val="22"/>
                <w:szCs w:val="22"/>
              </w:rPr>
            </w:pPr>
            <w:r w:rsidRPr="004F2631">
              <w:rPr>
                <w:rFonts w:cs="Calibri"/>
                <w:sz w:val="22"/>
                <w:szCs w:val="22"/>
              </w:rPr>
              <w:t>Interim Strategic Director for Growth</w:t>
            </w:r>
          </w:p>
        </w:tc>
      </w:tr>
      <w:tr w:rsidR="00D90B48" w:rsidRPr="00AF0575" w14:paraId="680519B6" w14:textId="77777777" w:rsidTr="008A38B7">
        <w:trPr>
          <w:cantSplit/>
          <w:jc w:val="center"/>
        </w:trPr>
        <w:tc>
          <w:tcPr>
            <w:tcW w:w="0" w:type="auto"/>
            <w:vMerge w:val="restart"/>
            <w:tcBorders>
              <w:top w:val="single" w:sz="4" w:space="0" w:color="auto"/>
              <w:left w:val="single" w:sz="4" w:space="0" w:color="auto"/>
              <w:right w:val="single" w:sz="4" w:space="0" w:color="auto"/>
            </w:tcBorders>
            <w:shd w:val="clear" w:color="auto" w:fill="FFE699"/>
            <w:vAlign w:val="center"/>
          </w:tcPr>
          <w:p w14:paraId="43F625F0" w14:textId="399953DF" w:rsidR="00D90B48" w:rsidRPr="00AF0575" w:rsidRDefault="00D90B48" w:rsidP="00D90B48">
            <w:pPr>
              <w:tabs>
                <w:tab w:val="clear" w:pos="0"/>
              </w:tabs>
              <w:spacing w:before="0"/>
              <w:jc w:val="center"/>
              <w:rPr>
                <w:rFonts w:cs="Calibri"/>
                <w:sz w:val="22"/>
                <w:szCs w:val="22"/>
              </w:rPr>
            </w:pPr>
            <w:r w:rsidRPr="00AF0575">
              <w:rPr>
                <w:rFonts w:cs="Calibri"/>
                <w:sz w:val="22"/>
                <w:szCs w:val="22"/>
              </w:rPr>
              <w:t>Behaviour Change</w:t>
            </w:r>
          </w:p>
        </w:tc>
        <w:tc>
          <w:tcPr>
            <w:tcW w:w="0" w:type="auto"/>
            <w:vMerge w:val="restart"/>
            <w:tcBorders>
              <w:top w:val="single" w:sz="4" w:space="0" w:color="auto"/>
              <w:left w:val="nil"/>
              <w:right w:val="single" w:sz="4" w:space="0" w:color="auto"/>
            </w:tcBorders>
            <w:shd w:val="clear" w:color="auto" w:fill="FFE699"/>
            <w:vAlign w:val="center"/>
          </w:tcPr>
          <w:p w14:paraId="551A50DD" w14:textId="4A335E83" w:rsidR="00D90B48" w:rsidRPr="00AF0575" w:rsidRDefault="00D90B48" w:rsidP="00D90B48">
            <w:pPr>
              <w:tabs>
                <w:tab w:val="clear" w:pos="0"/>
              </w:tabs>
              <w:spacing w:before="0"/>
              <w:jc w:val="center"/>
              <w:rPr>
                <w:rFonts w:cs="Calibri"/>
                <w:sz w:val="22"/>
                <w:szCs w:val="22"/>
              </w:rPr>
            </w:pPr>
            <w:r w:rsidRPr="00AF0575">
              <w:rPr>
                <w:rFonts w:cs="Calibri"/>
                <w:sz w:val="22"/>
                <w:szCs w:val="22"/>
              </w:rPr>
              <w:t>BC3</w:t>
            </w:r>
          </w:p>
        </w:tc>
        <w:tc>
          <w:tcPr>
            <w:tcW w:w="621" w:type="pct"/>
            <w:vMerge w:val="restart"/>
            <w:tcBorders>
              <w:top w:val="single" w:sz="4" w:space="0" w:color="auto"/>
              <w:left w:val="nil"/>
              <w:right w:val="single" w:sz="4" w:space="0" w:color="auto"/>
            </w:tcBorders>
            <w:shd w:val="clear" w:color="auto" w:fill="FFE699"/>
            <w:vAlign w:val="center"/>
          </w:tcPr>
          <w:p w14:paraId="6D9CFE9B" w14:textId="2FBDB2E3" w:rsidR="00D90B48" w:rsidRPr="00AF0575" w:rsidRDefault="00D90B48" w:rsidP="00D90B48">
            <w:pPr>
              <w:tabs>
                <w:tab w:val="clear" w:pos="0"/>
              </w:tabs>
              <w:spacing w:before="0"/>
              <w:jc w:val="center"/>
              <w:rPr>
                <w:rFonts w:cs="Calibri"/>
                <w:sz w:val="22"/>
                <w:szCs w:val="22"/>
              </w:rPr>
            </w:pPr>
            <w:r w:rsidRPr="00AF0575">
              <w:rPr>
                <w:rFonts w:cs="Calibri"/>
                <w:sz w:val="22"/>
                <w:szCs w:val="22"/>
              </w:rPr>
              <w:t>Net Zero action plan identified for top 50 business relationships and supported businesses by 2026</w:t>
            </w:r>
            <w:r w:rsidRPr="00AF0575">
              <w:rPr>
                <w:rFonts w:cs="Calibri"/>
                <w:sz w:val="22"/>
                <w:szCs w:val="22"/>
              </w:rPr>
              <w:br/>
              <w:t>Recommendations from the Green Skills Action Plan are implemented by 2026</w:t>
            </w:r>
          </w:p>
        </w:tc>
        <w:tc>
          <w:tcPr>
            <w:tcW w:w="915" w:type="pct"/>
            <w:vMerge w:val="restart"/>
            <w:tcBorders>
              <w:top w:val="single" w:sz="4" w:space="0" w:color="auto"/>
              <w:left w:val="nil"/>
              <w:right w:val="single" w:sz="4" w:space="0" w:color="auto"/>
            </w:tcBorders>
            <w:shd w:val="clear" w:color="auto" w:fill="FFE699"/>
            <w:vAlign w:val="center"/>
          </w:tcPr>
          <w:p w14:paraId="3AE075B9" w14:textId="1B848C81" w:rsidR="00D90B48" w:rsidRPr="00AF0575" w:rsidRDefault="00D90B48" w:rsidP="00D90B48">
            <w:pPr>
              <w:tabs>
                <w:tab w:val="clear" w:pos="0"/>
              </w:tabs>
              <w:spacing w:before="0"/>
              <w:jc w:val="center"/>
              <w:rPr>
                <w:rFonts w:cs="Calibri"/>
                <w:sz w:val="22"/>
                <w:szCs w:val="22"/>
              </w:rPr>
            </w:pPr>
            <w:r w:rsidRPr="00AF0575">
              <w:rPr>
                <w:rFonts w:cs="Calibri"/>
                <w:sz w:val="22"/>
                <w:szCs w:val="22"/>
              </w:rPr>
              <w:t>Provide support for transition to a future net zero economy driving investment, increasing knowledge, skills and local capacity in the business community.</w:t>
            </w:r>
          </w:p>
        </w:tc>
        <w:tc>
          <w:tcPr>
            <w:tcW w:w="1780" w:type="pct"/>
            <w:tcBorders>
              <w:top w:val="single" w:sz="4" w:space="0" w:color="auto"/>
              <w:left w:val="nil"/>
              <w:bottom w:val="single" w:sz="4" w:space="0" w:color="auto"/>
              <w:right w:val="single" w:sz="4" w:space="0" w:color="auto"/>
            </w:tcBorders>
            <w:shd w:val="clear" w:color="auto" w:fill="FFE699"/>
            <w:vAlign w:val="center"/>
          </w:tcPr>
          <w:p w14:paraId="501105F5" w14:textId="4132C1BA" w:rsidR="00D90B48" w:rsidRPr="00AF0575" w:rsidRDefault="00D90B48" w:rsidP="00D90B48">
            <w:pPr>
              <w:tabs>
                <w:tab w:val="clear" w:pos="0"/>
              </w:tabs>
              <w:spacing w:before="0"/>
              <w:jc w:val="center"/>
              <w:rPr>
                <w:rFonts w:cs="Calibri"/>
                <w:b/>
                <w:bCs/>
              </w:rPr>
            </w:pPr>
            <w:r w:rsidRPr="00AF0575">
              <w:rPr>
                <w:rFonts w:cs="Calibri"/>
                <w:b/>
                <w:bCs/>
              </w:rPr>
              <w:t xml:space="preserve">Deliver the plan for the city's economic transition to a low carbon economy as part of the overall economic development plan, with the Growth Board taking ownership of the agenda, and continue to identify funding to establish further net zero support for the </w:t>
            </w:r>
            <w:r>
              <w:rPr>
                <w:rFonts w:cs="Calibri"/>
                <w:b/>
                <w:bCs/>
              </w:rPr>
              <w:t>c</w:t>
            </w:r>
            <w:r w:rsidRPr="00AF0575">
              <w:rPr>
                <w:rFonts w:cs="Calibri"/>
                <w:b/>
                <w:bCs/>
              </w:rPr>
              <w:t>ity’s businesses.</w:t>
            </w:r>
          </w:p>
        </w:tc>
        <w:tc>
          <w:tcPr>
            <w:tcW w:w="0" w:type="auto"/>
            <w:tcBorders>
              <w:top w:val="single" w:sz="4" w:space="0" w:color="auto"/>
              <w:left w:val="nil"/>
              <w:bottom w:val="single" w:sz="4" w:space="0" w:color="auto"/>
              <w:right w:val="single" w:sz="4" w:space="0" w:color="auto"/>
            </w:tcBorders>
            <w:shd w:val="clear" w:color="auto" w:fill="FFE699"/>
            <w:vAlign w:val="center"/>
          </w:tcPr>
          <w:p w14:paraId="381E7A58" w14:textId="5E4E150A"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2025-27</w:t>
            </w:r>
          </w:p>
        </w:tc>
        <w:tc>
          <w:tcPr>
            <w:tcW w:w="0" w:type="auto"/>
            <w:tcBorders>
              <w:top w:val="single" w:sz="4" w:space="0" w:color="auto"/>
              <w:left w:val="nil"/>
              <w:bottom w:val="single" w:sz="4" w:space="0" w:color="auto"/>
              <w:right w:val="single" w:sz="4" w:space="0" w:color="auto"/>
            </w:tcBorders>
            <w:shd w:val="clear" w:color="auto" w:fill="FFE699"/>
            <w:vAlign w:val="center"/>
          </w:tcPr>
          <w:p w14:paraId="044862DB" w14:textId="64E457FA" w:rsidR="00D90B48" w:rsidRPr="00AF0575" w:rsidRDefault="00D90B48" w:rsidP="00D90B48">
            <w:pPr>
              <w:tabs>
                <w:tab w:val="clear" w:pos="0"/>
              </w:tabs>
              <w:spacing w:before="0"/>
              <w:jc w:val="center"/>
              <w:rPr>
                <w:rFonts w:cs="Calibri"/>
                <w:sz w:val="22"/>
                <w:szCs w:val="22"/>
              </w:rPr>
            </w:pPr>
            <w:r w:rsidRPr="004F2631">
              <w:rPr>
                <w:rFonts w:cs="Calibri"/>
                <w:sz w:val="22"/>
                <w:szCs w:val="22"/>
              </w:rPr>
              <w:t>Interim Strategic Director for Growth</w:t>
            </w:r>
          </w:p>
        </w:tc>
      </w:tr>
      <w:tr w:rsidR="00D90B48" w:rsidRPr="00AF0575" w14:paraId="4E429DBC" w14:textId="77777777" w:rsidTr="008A38B7">
        <w:trPr>
          <w:cantSplit/>
          <w:jc w:val="center"/>
        </w:trPr>
        <w:tc>
          <w:tcPr>
            <w:tcW w:w="0" w:type="auto"/>
            <w:vMerge/>
            <w:tcBorders>
              <w:left w:val="single" w:sz="4" w:space="0" w:color="auto"/>
              <w:bottom w:val="single" w:sz="4" w:space="0" w:color="auto"/>
              <w:right w:val="single" w:sz="4" w:space="0" w:color="auto"/>
            </w:tcBorders>
            <w:shd w:val="clear" w:color="auto" w:fill="FFE699"/>
            <w:vAlign w:val="center"/>
          </w:tcPr>
          <w:p w14:paraId="26B85720" w14:textId="124D4193" w:rsidR="00D90B48" w:rsidRPr="00AF0575" w:rsidRDefault="00D90B48" w:rsidP="00D90B48">
            <w:pPr>
              <w:tabs>
                <w:tab w:val="clear" w:pos="0"/>
              </w:tabs>
              <w:spacing w:before="0"/>
              <w:jc w:val="center"/>
              <w:rPr>
                <w:rFonts w:cs="Calibri"/>
                <w:sz w:val="22"/>
                <w:szCs w:val="22"/>
              </w:rPr>
            </w:pPr>
          </w:p>
        </w:tc>
        <w:tc>
          <w:tcPr>
            <w:tcW w:w="0" w:type="auto"/>
            <w:vMerge/>
            <w:tcBorders>
              <w:left w:val="nil"/>
              <w:bottom w:val="single" w:sz="4" w:space="0" w:color="auto"/>
              <w:right w:val="single" w:sz="4" w:space="0" w:color="auto"/>
            </w:tcBorders>
            <w:shd w:val="clear" w:color="auto" w:fill="FFE699"/>
            <w:vAlign w:val="center"/>
          </w:tcPr>
          <w:p w14:paraId="08F331B5" w14:textId="38D9721B" w:rsidR="00D90B48" w:rsidRPr="00AF0575" w:rsidRDefault="00D90B48" w:rsidP="00D90B48">
            <w:pPr>
              <w:tabs>
                <w:tab w:val="clear" w:pos="0"/>
              </w:tabs>
              <w:spacing w:before="0"/>
              <w:jc w:val="center"/>
              <w:rPr>
                <w:rFonts w:cs="Calibri"/>
                <w:sz w:val="22"/>
                <w:szCs w:val="22"/>
              </w:rPr>
            </w:pPr>
          </w:p>
        </w:tc>
        <w:tc>
          <w:tcPr>
            <w:tcW w:w="621" w:type="pct"/>
            <w:vMerge/>
            <w:tcBorders>
              <w:left w:val="nil"/>
              <w:bottom w:val="single" w:sz="4" w:space="0" w:color="auto"/>
              <w:right w:val="single" w:sz="4" w:space="0" w:color="auto"/>
            </w:tcBorders>
            <w:shd w:val="clear" w:color="auto" w:fill="FFE699"/>
            <w:vAlign w:val="center"/>
          </w:tcPr>
          <w:p w14:paraId="74C6A060" w14:textId="08FB3726" w:rsidR="00D90B48" w:rsidRPr="00AF0575" w:rsidRDefault="00D90B48" w:rsidP="00D90B48">
            <w:pPr>
              <w:tabs>
                <w:tab w:val="clear" w:pos="0"/>
              </w:tabs>
              <w:spacing w:before="0"/>
              <w:jc w:val="center"/>
              <w:rPr>
                <w:rFonts w:cs="Calibri"/>
                <w:sz w:val="22"/>
                <w:szCs w:val="22"/>
              </w:rPr>
            </w:pPr>
          </w:p>
        </w:tc>
        <w:tc>
          <w:tcPr>
            <w:tcW w:w="915" w:type="pct"/>
            <w:vMerge/>
            <w:tcBorders>
              <w:left w:val="nil"/>
              <w:bottom w:val="single" w:sz="4" w:space="0" w:color="auto"/>
              <w:right w:val="single" w:sz="4" w:space="0" w:color="auto"/>
            </w:tcBorders>
            <w:shd w:val="clear" w:color="auto" w:fill="FFE699"/>
            <w:vAlign w:val="center"/>
          </w:tcPr>
          <w:p w14:paraId="030388DA" w14:textId="287F6F45" w:rsidR="00D90B48" w:rsidRPr="00AF0575" w:rsidRDefault="00D90B48" w:rsidP="00D90B48">
            <w:pPr>
              <w:tabs>
                <w:tab w:val="clear" w:pos="0"/>
              </w:tabs>
              <w:spacing w:before="0"/>
              <w:jc w:val="center"/>
              <w:rPr>
                <w:rFonts w:cs="Calibri"/>
                <w:sz w:val="22"/>
                <w:szCs w:val="22"/>
              </w:rPr>
            </w:pPr>
          </w:p>
        </w:tc>
        <w:tc>
          <w:tcPr>
            <w:tcW w:w="1780" w:type="pct"/>
            <w:tcBorders>
              <w:top w:val="single" w:sz="4" w:space="0" w:color="auto"/>
              <w:left w:val="nil"/>
              <w:bottom w:val="single" w:sz="4" w:space="0" w:color="auto"/>
              <w:right w:val="single" w:sz="4" w:space="0" w:color="auto"/>
            </w:tcBorders>
            <w:shd w:val="clear" w:color="auto" w:fill="E2EFDA"/>
            <w:vAlign w:val="center"/>
          </w:tcPr>
          <w:p w14:paraId="39A5BDFB" w14:textId="2B86107B" w:rsidR="00D90B48" w:rsidRPr="00AF0575" w:rsidRDefault="00D90B48" w:rsidP="00D90B48">
            <w:pPr>
              <w:tabs>
                <w:tab w:val="clear" w:pos="0"/>
              </w:tabs>
              <w:spacing w:before="0"/>
              <w:jc w:val="center"/>
              <w:rPr>
                <w:rFonts w:cs="Calibri"/>
                <w:b/>
                <w:bCs/>
              </w:rPr>
            </w:pPr>
            <w:r w:rsidRPr="00AF0575">
              <w:rPr>
                <w:rFonts w:cs="Calibri"/>
                <w:b/>
                <w:bCs/>
              </w:rPr>
              <w:t>Support the delivery of the UK’s first</w:t>
            </w:r>
            <w:r w:rsidR="00BE43B9">
              <w:rPr>
                <w:rFonts w:cs="Calibri"/>
                <w:b/>
                <w:bCs/>
              </w:rPr>
              <w:t xml:space="preserve"> end-to-end</w:t>
            </w:r>
            <w:r w:rsidRPr="00AF0575">
              <w:rPr>
                <w:rFonts w:cs="Calibri"/>
                <w:b/>
                <w:bCs/>
              </w:rPr>
              <w:t xml:space="preserve"> commercial waste recycling plant for </w:t>
            </w:r>
            <w:r>
              <w:rPr>
                <w:rFonts w:cs="Calibri"/>
                <w:b/>
                <w:bCs/>
              </w:rPr>
              <w:t>electric vehicle</w:t>
            </w:r>
            <w:r w:rsidRPr="00AF0575">
              <w:rPr>
                <w:rFonts w:cs="Calibri"/>
                <w:b/>
                <w:bCs/>
              </w:rPr>
              <w:t xml:space="preserve"> batteries</w:t>
            </w:r>
            <w:r w:rsidR="00DD7954">
              <w:rPr>
                <w:rFonts w:cs="Calibri"/>
                <w:b/>
                <w:bCs/>
              </w:rPr>
              <w:t xml:space="preserve"> </w:t>
            </w:r>
            <w:r w:rsidRPr="00AF0575">
              <w:rPr>
                <w:rFonts w:cs="Calibri"/>
                <w:b/>
                <w:bCs/>
              </w:rPr>
              <w:t>in Plymouth.</w:t>
            </w:r>
          </w:p>
        </w:tc>
        <w:tc>
          <w:tcPr>
            <w:tcW w:w="0" w:type="auto"/>
            <w:tcBorders>
              <w:top w:val="single" w:sz="4" w:space="0" w:color="auto"/>
              <w:left w:val="nil"/>
              <w:bottom w:val="single" w:sz="4" w:space="0" w:color="auto"/>
              <w:right w:val="single" w:sz="4" w:space="0" w:color="auto"/>
            </w:tcBorders>
            <w:shd w:val="clear" w:color="auto" w:fill="E2EFDA"/>
            <w:vAlign w:val="center"/>
          </w:tcPr>
          <w:p w14:paraId="2676152A" w14:textId="0AB72348"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E2EFDA"/>
            <w:vAlign w:val="center"/>
          </w:tcPr>
          <w:p w14:paraId="1B16A19C" w14:textId="28F022A5" w:rsidR="00D90B48" w:rsidRPr="00AF0575" w:rsidRDefault="00D90B48" w:rsidP="00D90B48">
            <w:pPr>
              <w:tabs>
                <w:tab w:val="clear" w:pos="0"/>
              </w:tabs>
              <w:spacing w:before="0"/>
              <w:jc w:val="center"/>
              <w:rPr>
                <w:rFonts w:cs="Calibri"/>
                <w:sz w:val="22"/>
                <w:szCs w:val="22"/>
              </w:rPr>
            </w:pPr>
            <w:r w:rsidRPr="004F2631">
              <w:rPr>
                <w:rFonts w:cs="Calibri"/>
                <w:sz w:val="22"/>
                <w:szCs w:val="22"/>
              </w:rPr>
              <w:t>Interim Strategic Director for Growth</w:t>
            </w:r>
          </w:p>
        </w:tc>
      </w:tr>
      <w:tr w:rsidR="00D90B48" w:rsidRPr="00AF0575" w14:paraId="143C7807" w14:textId="77777777" w:rsidTr="008A38B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FFF2CC"/>
            <w:vAlign w:val="center"/>
          </w:tcPr>
          <w:p w14:paraId="6CAA1ABF" w14:textId="2A9B4AD2" w:rsidR="00D90B48" w:rsidRPr="00AF0575" w:rsidRDefault="00D90B48" w:rsidP="00D90B48">
            <w:pPr>
              <w:tabs>
                <w:tab w:val="clear" w:pos="0"/>
              </w:tabs>
              <w:spacing w:before="0"/>
              <w:jc w:val="center"/>
              <w:rPr>
                <w:rFonts w:cs="Calibri"/>
                <w:sz w:val="22"/>
                <w:szCs w:val="22"/>
              </w:rPr>
            </w:pPr>
            <w:r w:rsidRPr="00AF0575">
              <w:rPr>
                <w:rFonts w:cs="Calibri"/>
                <w:sz w:val="22"/>
                <w:szCs w:val="22"/>
              </w:rPr>
              <w:t>Behaviour Change</w:t>
            </w:r>
          </w:p>
        </w:tc>
        <w:tc>
          <w:tcPr>
            <w:tcW w:w="0" w:type="auto"/>
            <w:tcBorders>
              <w:top w:val="single" w:sz="4" w:space="0" w:color="auto"/>
              <w:left w:val="nil"/>
              <w:bottom w:val="single" w:sz="4" w:space="0" w:color="auto"/>
              <w:right w:val="single" w:sz="4" w:space="0" w:color="auto"/>
            </w:tcBorders>
            <w:shd w:val="clear" w:color="auto" w:fill="FFF2CC"/>
            <w:vAlign w:val="center"/>
          </w:tcPr>
          <w:p w14:paraId="54D10F57" w14:textId="1C4AE97A" w:rsidR="00D90B48" w:rsidRPr="00AF0575" w:rsidRDefault="00D90B48" w:rsidP="00D90B48">
            <w:pPr>
              <w:tabs>
                <w:tab w:val="clear" w:pos="0"/>
              </w:tabs>
              <w:spacing w:before="0"/>
              <w:jc w:val="center"/>
              <w:rPr>
                <w:rFonts w:cs="Calibri"/>
                <w:sz w:val="22"/>
                <w:szCs w:val="22"/>
              </w:rPr>
            </w:pPr>
            <w:r w:rsidRPr="00AF0575">
              <w:rPr>
                <w:rFonts w:cs="Calibri"/>
                <w:sz w:val="22"/>
                <w:szCs w:val="22"/>
              </w:rPr>
              <w:t>BC4</w:t>
            </w:r>
          </w:p>
        </w:tc>
        <w:tc>
          <w:tcPr>
            <w:tcW w:w="621" w:type="pct"/>
            <w:tcBorders>
              <w:top w:val="single" w:sz="4" w:space="0" w:color="auto"/>
              <w:left w:val="nil"/>
              <w:bottom w:val="single" w:sz="4" w:space="0" w:color="auto"/>
              <w:right w:val="single" w:sz="4" w:space="0" w:color="auto"/>
            </w:tcBorders>
            <w:shd w:val="clear" w:color="auto" w:fill="FFF2CC"/>
            <w:vAlign w:val="center"/>
          </w:tcPr>
          <w:p w14:paraId="7346637B" w14:textId="00EBAE4A" w:rsidR="00D90B48" w:rsidRPr="00AF0575" w:rsidRDefault="00D90B48" w:rsidP="00D90B48">
            <w:pPr>
              <w:tabs>
                <w:tab w:val="clear" w:pos="0"/>
              </w:tabs>
              <w:spacing w:before="0"/>
              <w:jc w:val="center"/>
              <w:rPr>
                <w:rFonts w:cs="Calibri"/>
                <w:sz w:val="22"/>
                <w:szCs w:val="22"/>
              </w:rPr>
            </w:pPr>
            <w:r w:rsidRPr="00AF0575">
              <w:rPr>
                <w:rFonts w:cs="Calibri"/>
                <w:sz w:val="22"/>
                <w:szCs w:val="22"/>
              </w:rPr>
              <w:t>Net Zero Route Map endorsed by Council and strategic partners by 2027</w:t>
            </w:r>
          </w:p>
        </w:tc>
        <w:tc>
          <w:tcPr>
            <w:tcW w:w="915" w:type="pct"/>
            <w:tcBorders>
              <w:top w:val="single" w:sz="4" w:space="0" w:color="auto"/>
              <w:left w:val="nil"/>
              <w:bottom w:val="single" w:sz="4" w:space="0" w:color="auto"/>
              <w:right w:val="single" w:sz="4" w:space="0" w:color="auto"/>
            </w:tcBorders>
            <w:shd w:val="clear" w:color="auto" w:fill="FFF2CC"/>
            <w:vAlign w:val="center"/>
          </w:tcPr>
          <w:p w14:paraId="6E634E95" w14:textId="6C89EC80" w:rsidR="00D90B48" w:rsidRPr="00AF0575" w:rsidRDefault="00D90B48" w:rsidP="00D90B48">
            <w:pPr>
              <w:tabs>
                <w:tab w:val="clear" w:pos="0"/>
              </w:tabs>
              <w:spacing w:before="0"/>
              <w:jc w:val="center"/>
              <w:rPr>
                <w:rFonts w:cs="Calibri"/>
                <w:sz w:val="22"/>
                <w:szCs w:val="22"/>
              </w:rPr>
            </w:pPr>
            <w:r w:rsidRPr="00AF0575">
              <w:rPr>
                <w:rFonts w:cs="Calibri"/>
                <w:sz w:val="22"/>
                <w:szCs w:val="22"/>
              </w:rPr>
              <w:t>Support effective city and regional governance and action on the climate emergency.</w:t>
            </w:r>
          </w:p>
        </w:tc>
        <w:tc>
          <w:tcPr>
            <w:tcW w:w="1780" w:type="pct"/>
            <w:tcBorders>
              <w:top w:val="single" w:sz="4" w:space="0" w:color="auto"/>
              <w:left w:val="nil"/>
              <w:bottom w:val="single" w:sz="4" w:space="0" w:color="auto"/>
              <w:right w:val="single" w:sz="4" w:space="0" w:color="auto"/>
            </w:tcBorders>
            <w:shd w:val="clear" w:color="auto" w:fill="E2EFDA"/>
            <w:vAlign w:val="center"/>
          </w:tcPr>
          <w:p w14:paraId="72CA8F5B" w14:textId="1BAFEE5E" w:rsidR="00D90B48" w:rsidRPr="00AF0575" w:rsidRDefault="00D90B48" w:rsidP="00D90B48">
            <w:pPr>
              <w:tabs>
                <w:tab w:val="clear" w:pos="0"/>
              </w:tabs>
              <w:spacing w:before="0"/>
              <w:jc w:val="center"/>
              <w:rPr>
                <w:rFonts w:cs="Calibri"/>
                <w:b/>
                <w:bCs/>
              </w:rPr>
            </w:pPr>
            <w:r w:rsidRPr="00AF0575">
              <w:rPr>
                <w:rFonts w:cs="Calibri"/>
                <w:b/>
                <w:bCs/>
              </w:rPr>
              <w:t>Develop a citywide Net Zero Route Map with clear milestones, acting as support for the Plymouth Net Zero Partnership.</w:t>
            </w:r>
          </w:p>
        </w:tc>
        <w:tc>
          <w:tcPr>
            <w:tcW w:w="0" w:type="auto"/>
            <w:tcBorders>
              <w:top w:val="single" w:sz="4" w:space="0" w:color="auto"/>
              <w:left w:val="nil"/>
              <w:bottom w:val="single" w:sz="4" w:space="0" w:color="auto"/>
              <w:right w:val="single" w:sz="4" w:space="0" w:color="auto"/>
            </w:tcBorders>
            <w:shd w:val="clear" w:color="auto" w:fill="E2EFDA"/>
            <w:vAlign w:val="center"/>
          </w:tcPr>
          <w:p w14:paraId="5FEA7F2E" w14:textId="04C6E115" w:rsidR="00D90B48" w:rsidRPr="00AF0575" w:rsidRDefault="00D90B48" w:rsidP="00D90B48">
            <w:pPr>
              <w:tabs>
                <w:tab w:val="clear" w:pos="0"/>
              </w:tabs>
              <w:spacing w:before="0"/>
              <w:jc w:val="center"/>
              <w:rPr>
                <w:rFonts w:cs="Calibri"/>
                <w:b/>
                <w:bCs/>
                <w:sz w:val="22"/>
                <w:szCs w:val="22"/>
              </w:rPr>
            </w:pPr>
            <w:r w:rsidRPr="00AF0575">
              <w:rPr>
                <w:rFonts w:cs="Calibri"/>
                <w:b/>
                <w:bCs/>
                <w:sz w:val="22"/>
                <w:szCs w:val="22"/>
              </w:rPr>
              <w:t>2025/26</w:t>
            </w:r>
          </w:p>
        </w:tc>
        <w:tc>
          <w:tcPr>
            <w:tcW w:w="0" w:type="auto"/>
            <w:tcBorders>
              <w:top w:val="single" w:sz="4" w:space="0" w:color="auto"/>
              <w:left w:val="nil"/>
              <w:bottom w:val="single" w:sz="4" w:space="0" w:color="auto"/>
              <w:right w:val="single" w:sz="4" w:space="0" w:color="auto"/>
            </w:tcBorders>
            <w:shd w:val="clear" w:color="auto" w:fill="E2EFDA"/>
            <w:vAlign w:val="center"/>
          </w:tcPr>
          <w:p w14:paraId="421E01EB" w14:textId="562B5021" w:rsidR="00D90B48" w:rsidRPr="00AF0575" w:rsidRDefault="00D90B48" w:rsidP="00D90B48">
            <w:pPr>
              <w:tabs>
                <w:tab w:val="clear" w:pos="0"/>
              </w:tabs>
              <w:spacing w:before="0"/>
              <w:jc w:val="center"/>
              <w:rPr>
                <w:rFonts w:cs="Calibri"/>
                <w:sz w:val="22"/>
                <w:szCs w:val="22"/>
              </w:rPr>
            </w:pPr>
            <w:r w:rsidRPr="004F2631">
              <w:rPr>
                <w:rFonts w:cs="Calibri"/>
                <w:sz w:val="22"/>
                <w:szCs w:val="22"/>
              </w:rPr>
              <w:t>Interim Strategic Director for Growth</w:t>
            </w:r>
          </w:p>
        </w:tc>
      </w:tr>
      <w:bookmarkEnd w:id="1"/>
    </w:tbl>
    <w:p w14:paraId="75CCD7C0" w14:textId="77777777" w:rsidR="002718E7" w:rsidRDefault="002718E7">
      <w:pPr>
        <w:numPr>
          <w:ilvl w:val="0"/>
          <w:numId w:val="0"/>
        </w:numPr>
        <w:spacing w:before="0"/>
      </w:pPr>
      <w:r>
        <w:br w:type="page"/>
      </w:r>
    </w:p>
    <w:p w14:paraId="4E7DD69D" w14:textId="0162AA6E" w:rsidR="002718E7" w:rsidRPr="00C47F42" w:rsidRDefault="002718E7" w:rsidP="002718E7">
      <w:pPr>
        <w:pStyle w:val="ListParagraph"/>
        <w:rPr>
          <w:b/>
          <w:bCs/>
          <w:sz w:val="32"/>
          <w:szCs w:val="32"/>
        </w:rPr>
      </w:pPr>
      <w:r w:rsidRPr="00C47F42">
        <w:rPr>
          <w:b/>
          <w:bCs/>
          <w:sz w:val="32"/>
          <w:szCs w:val="32"/>
        </w:rPr>
        <w:lastRenderedPageBreak/>
        <w:t xml:space="preserve">ANNEX </w:t>
      </w:r>
      <w:r>
        <w:rPr>
          <w:b/>
          <w:bCs/>
          <w:sz w:val="32"/>
          <w:szCs w:val="32"/>
        </w:rPr>
        <w:t>TWO</w:t>
      </w:r>
      <w:r w:rsidRPr="00C47F42">
        <w:rPr>
          <w:b/>
          <w:bCs/>
          <w:sz w:val="32"/>
          <w:szCs w:val="32"/>
        </w:rPr>
        <w:t xml:space="preserve">: </w:t>
      </w:r>
      <w:r>
        <w:rPr>
          <w:b/>
          <w:bCs/>
          <w:sz w:val="32"/>
          <w:szCs w:val="32"/>
        </w:rPr>
        <w:t xml:space="preserve">Climate actions now embedded into usual business practices </w:t>
      </w:r>
    </w:p>
    <w:p w14:paraId="4C9F143C" w14:textId="77777777" w:rsidR="002718E7" w:rsidRDefault="002718E7" w:rsidP="002718E7">
      <w:pPr>
        <w:pStyle w:val="ListParagraph"/>
        <w:rPr>
          <w:rFonts w:cs="Calibri"/>
          <w:color w:val="000000"/>
        </w:rPr>
      </w:pPr>
    </w:p>
    <w:p w14:paraId="0DD81B6A" w14:textId="00C4480A" w:rsidR="002718E7" w:rsidRPr="00C47F42" w:rsidRDefault="002718E7" w:rsidP="002718E7">
      <w:pPr>
        <w:pStyle w:val="ListParagraph"/>
        <w:rPr>
          <w:rFonts w:cs="Calibri"/>
          <w:color w:val="000000"/>
        </w:rPr>
      </w:pPr>
      <w:r w:rsidRPr="00C47F42">
        <w:rPr>
          <w:rFonts w:cs="Calibri"/>
          <w:color w:val="000000"/>
        </w:rPr>
        <w:t xml:space="preserve">Our annual action plans are allowing us to chart a course to a more sustainable organisational culture. The commitments we made in </w:t>
      </w:r>
      <w:r>
        <w:rPr>
          <w:rFonts w:cs="Calibri"/>
          <w:color w:val="000000"/>
        </w:rPr>
        <w:t>previous iterations of the Net Zero Action Plan</w:t>
      </w:r>
      <w:r w:rsidRPr="00C47F42">
        <w:rPr>
          <w:rFonts w:cs="Calibri"/>
          <w:color w:val="000000"/>
        </w:rPr>
        <w:t xml:space="preserve"> are bearing fruit and our working practices are evolving. The following actions in the Net Zero Action Plan</w:t>
      </w:r>
      <w:r>
        <w:rPr>
          <w:rFonts w:cs="Calibri"/>
          <w:color w:val="000000"/>
        </w:rPr>
        <w:t xml:space="preserve"> 2024/27</w:t>
      </w:r>
      <w:r w:rsidRPr="00C47F42">
        <w:rPr>
          <w:rFonts w:cs="Calibri"/>
          <w:color w:val="000000"/>
        </w:rPr>
        <w:t xml:space="preserve"> are now embedded within the Council’s usual business practices. To improve the legibility of the plan and minimise </w:t>
      </w:r>
      <w:r w:rsidR="00793203">
        <w:rPr>
          <w:rFonts w:cs="Calibri"/>
          <w:color w:val="000000"/>
        </w:rPr>
        <w:t>its</w:t>
      </w:r>
      <w:r w:rsidRPr="00C47F42">
        <w:rPr>
          <w:rFonts w:cs="Calibri"/>
          <w:color w:val="000000"/>
        </w:rPr>
        <w:t xml:space="preserve"> </w:t>
      </w:r>
      <w:r>
        <w:rPr>
          <w:rFonts w:cs="Calibri"/>
          <w:color w:val="000000"/>
        </w:rPr>
        <w:t>administration</w:t>
      </w:r>
      <w:r w:rsidRPr="00C47F42">
        <w:rPr>
          <w:rFonts w:cs="Calibri"/>
          <w:color w:val="000000"/>
        </w:rPr>
        <w:t xml:space="preserve">, </w:t>
      </w:r>
      <w:r>
        <w:rPr>
          <w:rFonts w:cs="Calibri"/>
          <w:color w:val="000000"/>
        </w:rPr>
        <w:t>we will no longer</w:t>
      </w:r>
      <w:r w:rsidR="00CC492C">
        <w:rPr>
          <w:rFonts w:cs="Calibri"/>
          <w:color w:val="000000"/>
        </w:rPr>
        <w:t xml:space="preserve"> publish</w:t>
      </w:r>
      <w:r>
        <w:rPr>
          <w:rFonts w:cs="Calibri"/>
          <w:color w:val="000000"/>
        </w:rPr>
        <w:t xml:space="preserve"> progress </w:t>
      </w:r>
      <w:r w:rsidR="00A76549">
        <w:rPr>
          <w:rFonts w:cs="Calibri"/>
          <w:color w:val="000000"/>
        </w:rPr>
        <w:t xml:space="preserve">reports </w:t>
      </w:r>
      <w:r>
        <w:rPr>
          <w:rFonts w:cs="Calibri"/>
          <w:color w:val="000000"/>
        </w:rPr>
        <w:t xml:space="preserve">on these ongoing activities. The last progress report for each of these activities will be issued in </w:t>
      </w:r>
      <w:r w:rsidR="0080498D">
        <w:rPr>
          <w:rFonts w:cs="Calibri"/>
          <w:color w:val="000000"/>
        </w:rPr>
        <w:t>Febr</w:t>
      </w:r>
      <w:r w:rsidR="00104096">
        <w:rPr>
          <w:rFonts w:cs="Calibri"/>
          <w:color w:val="000000"/>
        </w:rPr>
        <w:t>u</w:t>
      </w:r>
      <w:r w:rsidR="0080498D">
        <w:rPr>
          <w:rFonts w:cs="Calibri"/>
          <w:color w:val="000000"/>
        </w:rPr>
        <w:t>ary</w:t>
      </w:r>
      <w:r>
        <w:rPr>
          <w:rFonts w:cs="Calibri"/>
          <w:color w:val="000000"/>
        </w:rPr>
        <w:t xml:space="preserve"> 2025. </w:t>
      </w:r>
    </w:p>
    <w:p w14:paraId="36A06E47" w14:textId="77777777" w:rsidR="002718E7" w:rsidRDefault="002718E7" w:rsidP="002718E7">
      <w:pPr>
        <w:pStyle w:val="ListParagraph"/>
        <w:rPr>
          <w:rFonts w:cs="Calibri"/>
          <w:color w:val="000000"/>
        </w:rPr>
      </w:pPr>
    </w:p>
    <w:p w14:paraId="43B3592F" w14:textId="77777777" w:rsidR="002718E7" w:rsidRDefault="002718E7" w:rsidP="002718E7">
      <w:pPr>
        <w:pStyle w:val="Pageheading"/>
      </w:pPr>
      <w:r w:rsidRPr="00B97FA1">
        <w:t>Buildings, Heat and Power</w:t>
      </w:r>
    </w:p>
    <w:p w14:paraId="5ADEEDAA" w14:textId="77777777" w:rsidR="002718E7" w:rsidRPr="00A130FE" w:rsidRDefault="002718E7" w:rsidP="002718E7">
      <w:pPr>
        <w:pStyle w:val="ListBullet"/>
      </w:pPr>
      <w:r w:rsidRPr="76352147">
        <w:rPr>
          <w:lang w:val="en-US"/>
        </w:rPr>
        <w:t>BHP1 C. Continue a programme of estate rationalisation based on energy efficiency and sustainability.</w:t>
      </w:r>
    </w:p>
    <w:p w14:paraId="35507630" w14:textId="77777777" w:rsidR="002718E7" w:rsidRPr="00844BE7" w:rsidRDefault="002718E7" w:rsidP="002718E7">
      <w:pPr>
        <w:pStyle w:val="ListBullet"/>
      </w:pPr>
      <w:r w:rsidRPr="00F73013">
        <w:t>BHP</w:t>
      </w:r>
      <w:r>
        <w:t>2</w:t>
      </w:r>
      <w:r w:rsidRPr="00F73013">
        <w:t xml:space="preserve"> </w:t>
      </w:r>
      <w:r>
        <w:t xml:space="preserve">A. </w:t>
      </w:r>
      <w:r w:rsidRPr="00F73013">
        <w:t xml:space="preserve">Pursue funding opportunities to implement electricity-saving measures across our corporate estate. </w:t>
      </w:r>
      <w:r w:rsidRPr="00844BE7">
        <w:tab/>
      </w:r>
    </w:p>
    <w:p w14:paraId="6AD2EAB3" w14:textId="77777777" w:rsidR="002718E7" w:rsidRPr="00C47F42" w:rsidRDefault="002718E7" w:rsidP="002718E7">
      <w:pPr>
        <w:pStyle w:val="ListBullet"/>
      </w:pPr>
      <w:r w:rsidRPr="76352147">
        <w:rPr>
          <w:lang w:val="en-GB"/>
        </w:rPr>
        <w:t>BHP5 A. Continue to work with our supplier</w:t>
      </w:r>
      <w:r>
        <w:rPr>
          <w:lang w:val="en-GB"/>
        </w:rPr>
        <w:t>s</w:t>
      </w:r>
      <w:r w:rsidRPr="76352147">
        <w:rPr>
          <w:lang w:val="en-GB"/>
        </w:rPr>
        <w:t xml:space="preserve"> to implement a new methodology to account for and reduce emissions from highways maintenance.</w:t>
      </w:r>
    </w:p>
    <w:p w14:paraId="3882B802" w14:textId="77777777" w:rsidR="002718E7" w:rsidRDefault="002718E7" w:rsidP="002718E7">
      <w:pPr>
        <w:pStyle w:val="ListBullet"/>
      </w:pPr>
      <w:r w:rsidRPr="00C47F42">
        <w:t xml:space="preserve">BHP5 B. Continue to trial more economical road surfacing processes for road maintenance and pothole repairs. </w:t>
      </w:r>
    </w:p>
    <w:p w14:paraId="09D9FC9F" w14:textId="77777777" w:rsidR="002718E7" w:rsidRPr="00C47F42" w:rsidRDefault="002718E7" w:rsidP="002718E7">
      <w:pPr>
        <w:pStyle w:val="ListBullet"/>
      </w:pPr>
      <w:r w:rsidRPr="00C47F42">
        <w:t>BHP9 B. Work with specialist Disabled Facilities Grant contractors to reduce the carbon impact of adaptations.</w:t>
      </w:r>
    </w:p>
    <w:p w14:paraId="0ABD15B7" w14:textId="77777777" w:rsidR="002718E7" w:rsidRDefault="002718E7" w:rsidP="002718E7">
      <w:pPr>
        <w:pStyle w:val="ListBullet"/>
      </w:pPr>
      <w:r w:rsidRPr="76352147">
        <w:rPr>
          <w:lang w:val="en-GB"/>
        </w:rPr>
        <w:t>BHP9 C. Build a greater understanding of the condition of city’s housing stock and its energy performance, so that targeted interventions can be identified and coordinated.</w:t>
      </w:r>
    </w:p>
    <w:p w14:paraId="12F6B891" w14:textId="77777777" w:rsidR="002718E7" w:rsidRPr="00C47F42" w:rsidRDefault="002718E7" w:rsidP="002718E7">
      <w:pPr>
        <w:pStyle w:val="ListBullet"/>
      </w:pPr>
      <w:r w:rsidRPr="00C47F42">
        <w:t>BHP10 B. Work with National Grid on increasing the capacity of the energy grid to shift to an economy that will be more reliant on electricity generation.</w:t>
      </w:r>
    </w:p>
    <w:p w14:paraId="1E13572A" w14:textId="77777777" w:rsidR="002718E7" w:rsidRPr="00C47F42" w:rsidRDefault="002718E7" w:rsidP="002718E7">
      <w:pPr>
        <w:pStyle w:val="ListParagraph"/>
        <w:rPr>
          <w:rFonts w:cs="Calibri"/>
          <w:color w:val="000000"/>
        </w:rPr>
      </w:pPr>
    </w:p>
    <w:p w14:paraId="67039A7B" w14:textId="77777777" w:rsidR="002718E7" w:rsidRDefault="002718E7" w:rsidP="002718E7">
      <w:pPr>
        <w:pStyle w:val="Pageheading"/>
      </w:pPr>
      <w:r>
        <w:t>TRANSPORT</w:t>
      </w:r>
    </w:p>
    <w:p w14:paraId="104A51AE" w14:textId="77777777" w:rsidR="002718E7" w:rsidRDefault="002718E7" w:rsidP="002718E7">
      <w:pPr>
        <w:pStyle w:val="ListBullet"/>
      </w:pPr>
      <w:r w:rsidRPr="76352147">
        <w:rPr>
          <w:lang w:val="en-US"/>
        </w:rPr>
        <w:t>T1 D. Ensure contracts for health and care providers include a transport reduction clause where relevant for procuring services across Plymouth.</w:t>
      </w:r>
    </w:p>
    <w:p w14:paraId="0E2C3065" w14:textId="77777777" w:rsidR="002718E7" w:rsidRDefault="002718E7" w:rsidP="002718E7">
      <w:pPr>
        <w:pStyle w:val="ListBullet"/>
      </w:pPr>
      <w:r w:rsidRPr="76352147">
        <w:rPr>
          <w:lang w:val="en-US"/>
        </w:rPr>
        <w:t>T6 B. Continue to engage with the Peninsula Transport shadow Sub-national Transport Body to ensure alignment with the regional transport strategy and the tools available, regionally, to support the decarbonisation of transport.</w:t>
      </w:r>
    </w:p>
    <w:p w14:paraId="50493E4D" w14:textId="77777777" w:rsidR="002718E7" w:rsidRPr="00C47F42" w:rsidRDefault="002718E7" w:rsidP="002718E7"/>
    <w:p w14:paraId="24E7DEE0" w14:textId="77777777" w:rsidR="002718E7" w:rsidRDefault="002718E7" w:rsidP="002718E7">
      <w:pPr>
        <w:pStyle w:val="Pageheading"/>
      </w:pPr>
      <w:r>
        <w:t>BEHAVIOUR CHANGE</w:t>
      </w:r>
    </w:p>
    <w:p w14:paraId="25914D27" w14:textId="77777777" w:rsidR="002718E7" w:rsidRPr="00C47F42" w:rsidRDefault="002718E7" w:rsidP="002718E7">
      <w:pPr>
        <w:pStyle w:val="ListBullet"/>
      </w:pPr>
      <w:r w:rsidRPr="76352147">
        <w:rPr>
          <w:lang w:val="en-GB"/>
        </w:rPr>
        <w:t>BC2 D. Deliver behavioural change programmes and energy advice services for individuals, communities and businesses in partnership with PEC.</w:t>
      </w:r>
    </w:p>
    <w:p w14:paraId="52498F22" w14:textId="77777777" w:rsidR="002718E7" w:rsidRPr="00C47F42" w:rsidRDefault="002718E7" w:rsidP="002718E7">
      <w:pPr>
        <w:pStyle w:val="ListBullet"/>
      </w:pPr>
      <w:r w:rsidRPr="76352147">
        <w:rPr>
          <w:lang w:val="en-GB"/>
        </w:rPr>
        <w:t xml:space="preserve">BC2 E. Keep the Climate Connections website up-to-date and well managed, as its custodian for the city, and deliver the next phase of improvements, to drive citywide contributions to net zero. </w:t>
      </w:r>
    </w:p>
    <w:p w14:paraId="6B04ED81" w14:textId="77777777" w:rsidR="002718E7" w:rsidRPr="004712F2" w:rsidRDefault="002718E7" w:rsidP="002718E7">
      <w:pPr>
        <w:pStyle w:val="ListBullet"/>
      </w:pPr>
      <w:r w:rsidRPr="004712F2">
        <w:lastRenderedPageBreak/>
        <w:t>BC2 F. Continue to grow the network of Climate Ambassadors, community-based volunteers promoting the net zero agenda at a local level.</w:t>
      </w:r>
    </w:p>
    <w:p w14:paraId="37186C1E" w14:textId="77777777" w:rsidR="002718E7" w:rsidRPr="00C47F42" w:rsidRDefault="002718E7" w:rsidP="002718E7">
      <w:pPr>
        <w:pStyle w:val="ListBullet"/>
      </w:pPr>
      <w:r w:rsidRPr="00C47F42">
        <w:t>BC2 G. Work with the National Marine Park to raise awareness and explain the role of blue carbon in supporting the city’s journey to net zero, including the development of the blue green economy.</w:t>
      </w:r>
    </w:p>
    <w:p w14:paraId="3EF89749" w14:textId="77777777" w:rsidR="002718E7" w:rsidRPr="00C47F42" w:rsidRDefault="002718E7" w:rsidP="002718E7">
      <w:pPr>
        <w:pStyle w:val="ListBullet"/>
      </w:pPr>
      <w:r w:rsidRPr="76352147">
        <w:rPr>
          <w:lang w:val="en-GB"/>
        </w:rPr>
        <w:t>BC2 I. CATERED to pilot new approaches to promoting sustainable food choices.</w:t>
      </w:r>
    </w:p>
    <w:p w14:paraId="61D0A3EF" w14:textId="77777777" w:rsidR="002718E7" w:rsidRPr="00C47F42" w:rsidRDefault="002718E7" w:rsidP="002718E7">
      <w:pPr>
        <w:pStyle w:val="ListBullet"/>
      </w:pPr>
      <w:r w:rsidRPr="76352147">
        <w:rPr>
          <w:lang w:val="en-US"/>
        </w:rPr>
        <w:t>BC2 J. Use provider forums and newsletter to engage with the domiciliary care and adult social care sector on Net Zero, to share good practice and invite contribution from providers to Climate Connection's Net Zero organisation pages.</w:t>
      </w:r>
    </w:p>
    <w:p w14:paraId="1C2DEE8E" w14:textId="77777777" w:rsidR="002718E7" w:rsidRPr="00C47F42" w:rsidRDefault="002718E7" w:rsidP="002718E7">
      <w:pPr>
        <w:pStyle w:val="ListBullet"/>
      </w:pPr>
      <w:r w:rsidRPr="76352147">
        <w:rPr>
          <w:lang w:val="en-US"/>
        </w:rPr>
        <w:t>BC2 K. Utilise family and wellbeing hubs to promote Net Zero, reaching out to our clients with energy efficiency help and advice (in partnership with PEC).</w:t>
      </w:r>
    </w:p>
    <w:p w14:paraId="29257230" w14:textId="77777777" w:rsidR="002718E7" w:rsidRPr="00C47F42" w:rsidRDefault="002718E7" w:rsidP="002718E7">
      <w:pPr>
        <w:pStyle w:val="ListBullet"/>
      </w:pPr>
      <w:r w:rsidRPr="76352147">
        <w:rPr>
          <w:lang w:val="en-GB"/>
        </w:rPr>
        <w:t xml:space="preserve">BC2 L. Encourage all schools in Plymouth to seek eco-school accreditation, or to participate in the Let's Go Zero Campaign. </w:t>
      </w:r>
    </w:p>
    <w:p w14:paraId="1C9A628C" w14:textId="77777777" w:rsidR="002718E7" w:rsidRPr="00C47F42" w:rsidRDefault="002718E7" w:rsidP="002718E7">
      <w:pPr>
        <w:pStyle w:val="ListBullet"/>
      </w:pPr>
      <w:r w:rsidRPr="76352147">
        <w:rPr>
          <w:lang w:val="en-US"/>
        </w:rPr>
        <w:t>BC2 M. Promote Climate Ambassador schemes in schools and work towards organising a celebratory event to recognise good practice.</w:t>
      </w:r>
    </w:p>
    <w:p w14:paraId="69C356CB" w14:textId="77777777" w:rsidR="002718E7" w:rsidRPr="00C47F42" w:rsidRDefault="002718E7" w:rsidP="002718E7">
      <w:pPr>
        <w:pStyle w:val="ListBullet"/>
      </w:pPr>
      <w:r w:rsidRPr="00C47F42">
        <w:t>BC2 N. Engage young people on Climate Change through the Youth Parliament and other forms of youth engagement, and the appointment of a voluntary youth advisor.</w:t>
      </w:r>
    </w:p>
    <w:p w14:paraId="05E5A3F5" w14:textId="77777777" w:rsidR="002718E7" w:rsidRPr="00C47F42" w:rsidRDefault="002718E7" w:rsidP="002718E7">
      <w:pPr>
        <w:pStyle w:val="ListBullet"/>
      </w:pPr>
      <w:r w:rsidRPr="76352147">
        <w:rPr>
          <w:lang w:val="en-GB"/>
        </w:rPr>
        <w:t>BC2 P. Create a 'cities of service' approach to engaging with residents to create a ‘social movement’ of people who participate in practical activities to reduce emissions.</w:t>
      </w:r>
    </w:p>
    <w:p w14:paraId="1AEB4C6B" w14:textId="77777777" w:rsidR="002718E7" w:rsidRPr="00C47F42" w:rsidRDefault="002718E7" w:rsidP="002718E7">
      <w:pPr>
        <w:pStyle w:val="ListBullet"/>
      </w:pPr>
      <w:r w:rsidRPr="76352147">
        <w:rPr>
          <w:lang w:val="en-US"/>
        </w:rPr>
        <w:t xml:space="preserve">BC2 R. Develop a programme with the taxi trade to support the transition to Electric Vehicles including investigation of alternative funding mechanisms and collaborating on funding bids. </w:t>
      </w:r>
    </w:p>
    <w:p w14:paraId="4FDF5520" w14:textId="77777777" w:rsidR="002718E7" w:rsidRDefault="002718E7" w:rsidP="002718E7">
      <w:pPr>
        <w:pStyle w:val="ListBullet"/>
      </w:pPr>
      <w:r w:rsidRPr="76352147">
        <w:rPr>
          <w:lang w:val="en-US"/>
        </w:rPr>
        <w:t>BC2 U. Continue to organise an annual engagement event on environmental issues with the library service.</w:t>
      </w:r>
    </w:p>
    <w:p w14:paraId="11FDD675" w14:textId="77777777" w:rsidR="002718E7" w:rsidRPr="00C47F42" w:rsidRDefault="002718E7" w:rsidP="002718E7">
      <w:pPr>
        <w:pStyle w:val="ListBullet"/>
      </w:pPr>
      <w:r w:rsidRPr="76352147">
        <w:rPr>
          <w:lang w:val="en-GB"/>
        </w:rPr>
        <w:t>BC3 D. Continue to identify funding to establish further net zero support for the City’s businesses.</w:t>
      </w:r>
    </w:p>
    <w:p w14:paraId="5219049E" w14:textId="77777777" w:rsidR="002718E7" w:rsidRPr="00C47F42" w:rsidRDefault="002718E7" w:rsidP="002718E7">
      <w:pPr>
        <w:pStyle w:val="ListBullet"/>
      </w:pPr>
      <w:r w:rsidRPr="76352147">
        <w:rPr>
          <w:lang w:val="en-US"/>
        </w:rPr>
        <w:t>BC3 H. Provide energy efficiency advice to private landlords.</w:t>
      </w:r>
    </w:p>
    <w:p w14:paraId="24D3117E" w14:textId="77777777" w:rsidR="002718E7" w:rsidRDefault="002718E7" w:rsidP="002718E7">
      <w:pPr>
        <w:pStyle w:val="Pageheading"/>
      </w:pPr>
    </w:p>
    <w:p w14:paraId="5052DE6C" w14:textId="77777777" w:rsidR="002718E7" w:rsidRDefault="002718E7" w:rsidP="002718E7">
      <w:pPr>
        <w:pStyle w:val="Pageheading"/>
      </w:pPr>
      <w:r>
        <w:t>CONSUMPTION AND WASTE</w:t>
      </w:r>
    </w:p>
    <w:p w14:paraId="162BB24C" w14:textId="77777777" w:rsidR="002718E7" w:rsidRPr="00790421" w:rsidRDefault="002718E7" w:rsidP="002718E7"/>
    <w:p w14:paraId="0262D318" w14:textId="77777777" w:rsidR="002718E7" w:rsidRDefault="002718E7" w:rsidP="002718E7">
      <w:pPr>
        <w:pStyle w:val="ListBullet"/>
      </w:pPr>
      <w:r w:rsidRPr="76352147">
        <w:rPr>
          <w:lang w:val="en-US"/>
        </w:rPr>
        <w:t>CW1 B. Roll out the contract management toolkit to support the Council's contract managers in monitoring the effectiveness of our contracts in terms of carbon emissions commitments made by contractors.</w:t>
      </w:r>
    </w:p>
    <w:p w14:paraId="2448F7B1" w14:textId="74B8E831" w:rsidR="002718E7" w:rsidRDefault="002718E7" w:rsidP="002718E7">
      <w:pPr>
        <w:pStyle w:val="ListBullet"/>
      </w:pPr>
      <w:r w:rsidRPr="76352147">
        <w:rPr>
          <w:lang w:val="en-US"/>
        </w:rPr>
        <w:t xml:space="preserve">CW1 </w:t>
      </w:r>
      <w:r w:rsidR="006356F0" w:rsidRPr="76352147">
        <w:rPr>
          <w:lang w:val="en-US"/>
        </w:rPr>
        <w:t xml:space="preserve">C. </w:t>
      </w:r>
      <w:r w:rsidRPr="76352147">
        <w:rPr>
          <w:lang w:val="en-US"/>
        </w:rPr>
        <w:t>Roll out improvements to the Council's procurement approach so that it fully aligns with the Council's Net Zero ambition and embed a contract award weighing for climate change.</w:t>
      </w:r>
    </w:p>
    <w:p w14:paraId="1E530F15" w14:textId="77777777" w:rsidR="002718E7" w:rsidRDefault="002718E7" w:rsidP="002718E7">
      <w:pPr>
        <w:pStyle w:val="ListBullet"/>
      </w:pPr>
      <w:r>
        <w:t>CW1 D. Engage with the Council's family of companies to support their plans for Net Zero.</w:t>
      </w:r>
    </w:p>
    <w:p w14:paraId="1D24500B" w14:textId="01A71C09" w:rsidR="002718E7" w:rsidRPr="00C47F42" w:rsidRDefault="002718E7" w:rsidP="00860631">
      <w:pPr>
        <w:pStyle w:val="ListBullet"/>
      </w:pPr>
      <w:r>
        <w:lastRenderedPageBreak/>
        <w:t>CW1 E. Source recycled and refurbished equipment for our corporate operations needs where possible.</w:t>
      </w:r>
    </w:p>
    <w:p w14:paraId="71F88ECC" w14:textId="55EF08B6" w:rsidR="002718E7" w:rsidRPr="00994B75" w:rsidRDefault="002718E7" w:rsidP="002718E7">
      <w:pPr>
        <w:pStyle w:val="ListBullet"/>
      </w:pPr>
      <w:r w:rsidRPr="76352147">
        <w:rPr>
          <w:lang w:val="en-US"/>
        </w:rPr>
        <w:t xml:space="preserve">CW2 A. Continue to encourage waste minimisation, </w:t>
      </w:r>
      <w:r w:rsidR="006356F0" w:rsidRPr="76352147">
        <w:rPr>
          <w:lang w:val="en-US"/>
        </w:rPr>
        <w:t>reuse,</w:t>
      </w:r>
      <w:r w:rsidRPr="76352147">
        <w:rPr>
          <w:lang w:val="en-US"/>
        </w:rPr>
        <w:t xml:space="preserve"> and recycling at all our premises, ensuring all waste streams are separated to maximise recycling opportunities.</w:t>
      </w:r>
    </w:p>
    <w:p w14:paraId="24580DBC" w14:textId="6F67E664" w:rsidR="00994B75" w:rsidRDefault="00994B75" w:rsidP="00994B75">
      <w:pPr>
        <w:pStyle w:val="ListBullet"/>
      </w:pPr>
      <w:r w:rsidRPr="53360DED">
        <w:rPr>
          <w:lang w:val="en-US"/>
        </w:rPr>
        <w:t>CW3 E. Identify funding to support communities to increase the number of operating repair and reuse initiatives.</w:t>
      </w:r>
    </w:p>
    <w:p w14:paraId="5F93A272" w14:textId="1A4B3C5A" w:rsidR="002718E7" w:rsidRDefault="002718E7" w:rsidP="002718E7">
      <w:pPr>
        <w:numPr>
          <w:ilvl w:val="0"/>
          <w:numId w:val="0"/>
        </w:numPr>
        <w:spacing w:before="0"/>
        <w:rPr>
          <w:b/>
          <w:bCs/>
          <w:caps/>
          <w:kern w:val="32"/>
          <w:sz w:val="26"/>
          <w:szCs w:val="26"/>
        </w:rPr>
      </w:pPr>
    </w:p>
    <w:p w14:paraId="3DCBE966" w14:textId="77777777" w:rsidR="002718E7" w:rsidRDefault="002718E7" w:rsidP="002718E7">
      <w:pPr>
        <w:pStyle w:val="Pageheading"/>
      </w:pPr>
      <w:r>
        <w:t>Governance and delivery</w:t>
      </w:r>
    </w:p>
    <w:p w14:paraId="52C5BCCE" w14:textId="77777777" w:rsidR="002718E7" w:rsidRPr="00790421" w:rsidRDefault="002718E7" w:rsidP="002718E7"/>
    <w:p w14:paraId="33D858DC" w14:textId="3BA114CF" w:rsidR="002718E7" w:rsidRPr="005C55A7" w:rsidRDefault="002718E7" w:rsidP="002718E7">
      <w:pPr>
        <w:pStyle w:val="ListBullet"/>
      </w:pPr>
      <w:r w:rsidRPr="005C55A7">
        <w:t xml:space="preserve">GD1 C. </w:t>
      </w:r>
      <w:r w:rsidR="009673FF">
        <w:t>Collect p</w:t>
      </w:r>
      <w:r w:rsidRPr="005C55A7">
        <w:t>erformance data relating to the Council’s greenhouse gas emissions and report</w:t>
      </w:r>
      <w:r w:rsidR="009673FF">
        <w:t xml:space="preserve"> </w:t>
      </w:r>
      <w:r w:rsidRPr="005C55A7">
        <w:t>annually through the Climate Connections website and on our corporate website.</w:t>
      </w:r>
    </w:p>
    <w:p w14:paraId="0DD5AD11" w14:textId="3E50C715" w:rsidR="002718E7" w:rsidRDefault="002718E7" w:rsidP="002718E7">
      <w:pPr>
        <w:pStyle w:val="ListBullet"/>
      </w:pPr>
      <w:r w:rsidRPr="76352147">
        <w:rPr>
          <w:lang w:val="en-US"/>
        </w:rPr>
        <w:t xml:space="preserve">GD1 D. </w:t>
      </w:r>
      <w:r w:rsidR="001E5C12">
        <w:rPr>
          <w:lang w:val="en-US"/>
        </w:rPr>
        <w:t>C</w:t>
      </w:r>
      <w:r w:rsidRPr="76352147">
        <w:rPr>
          <w:lang w:val="en-US"/>
        </w:rPr>
        <w:t>ontinue to provide strategic leadership of the climate emergency through the Council's Climate Emergency Board, which maintains a strategic focus on the commitment to be a net zero organisation by 2030 through meeting at least 3 times a year.</w:t>
      </w:r>
    </w:p>
    <w:p w14:paraId="218786C0" w14:textId="62BB4A3E" w:rsidR="002718E7" w:rsidRPr="005C55A7" w:rsidRDefault="002718E7" w:rsidP="002718E7">
      <w:pPr>
        <w:pStyle w:val="ListBullet"/>
      </w:pPr>
      <w:r w:rsidRPr="005C55A7">
        <w:t xml:space="preserve">GD2 B. </w:t>
      </w:r>
      <w:r w:rsidR="00A01074">
        <w:t>D</w:t>
      </w:r>
      <w:r w:rsidRPr="005C55A7">
        <w:t>eliver the Climate Emergency Investment Fund to accelerate investment in corporate carbon reduction projects and climate emergency initiatives, to secure external grant funding and to reduce corporate energy costs.</w:t>
      </w:r>
    </w:p>
    <w:p w14:paraId="67494592" w14:textId="79FABB42" w:rsidR="002718E7" w:rsidRPr="005C55A7" w:rsidRDefault="002718E7" w:rsidP="002718E7">
      <w:pPr>
        <w:pStyle w:val="ListBullet"/>
      </w:pPr>
      <w:r w:rsidRPr="005C55A7">
        <w:t xml:space="preserve">GD2 C. </w:t>
      </w:r>
      <w:r w:rsidR="001E5C12">
        <w:t>K</w:t>
      </w:r>
      <w:r w:rsidRPr="005C55A7">
        <w:t>eep under active review all opportunities for external funding to support the Council's and City's net zero aspirations, including for example grants and developer contributions.</w:t>
      </w:r>
    </w:p>
    <w:p w14:paraId="00FED95F" w14:textId="05DB19EF" w:rsidR="002718E7" w:rsidRDefault="002718E7" w:rsidP="002718E7">
      <w:pPr>
        <w:pStyle w:val="ListBullet"/>
      </w:pPr>
      <w:r w:rsidRPr="76352147">
        <w:rPr>
          <w:lang w:val="en-US"/>
        </w:rPr>
        <w:t xml:space="preserve">GD2 E. </w:t>
      </w:r>
      <w:r w:rsidR="00FF124E">
        <w:rPr>
          <w:lang w:val="en-US"/>
        </w:rPr>
        <w:t>C</w:t>
      </w:r>
      <w:r w:rsidRPr="76352147">
        <w:rPr>
          <w:lang w:val="en-US"/>
        </w:rPr>
        <w:t>ontinue to seek financial and in-kind contributions from partners and other external funding sources to enable the Plymouth Net Zero Partnership to deliver effective strategic leadership of the Plymouth's net zero emissions.</w:t>
      </w:r>
    </w:p>
    <w:p w14:paraId="4BE5B122" w14:textId="40F95F3B" w:rsidR="002718E7" w:rsidRPr="00B45E5A" w:rsidRDefault="002718E7" w:rsidP="002718E7">
      <w:pPr>
        <w:pStyle w:val="ListBullet"/>
      </w:pPr>
      <w:r w:rsidRPr="76352147">
        <w:rPr>
          <w:lang w:val="en-US"/>
        </w:rPr>
        <w:t xml:space="preserve">GD 2 F. </w:t>
      </w:r>
      <w:r w:rsidR="009B23EC">
        <w:rPr>
          <w:lang w:val="en-US"/>
        </w:rPr>
        <w:t>Review o</w:t>
      </w:r>
      <w:r w:rsidRPr="76352147">
        <w:rPr>
          <w:lang w:val="en-US"/>
        </w:rPr>
        <w:t xml:space="preserve">ur treasury practices, </w:t>
      </w:r>
      <w:r w:rsidR="006356F0" w:rsidRPr="76352147">
        <w:rPr>
          <w:lang w:val="en-US"/>
        </w:rPr>
        <w:t>principles,</w:t>
      </w:r>
      <w:r w:rsidRPr="76352147">
        <w:rPr>
          <w:lang w:val="en-US"/>
        </w:rPr>
        <w:t xml:space="preserve"> and schedules to determine what criteria to apply to our own investment, developing our Environmental, Social and Governance section to reflect our ambition to achieve Net Zero.</w:t>
      </w:r>
    </w:p>
    <w:p w14:paraId="42E83757" w14:textId="77777777" w:rsidR="0059104F" w:rsidRPr="00894FEB" w:rsidRDefault="0059104F" w:rsidP="0059104F">
      <w:pPr>
        <w:pStyle w:val="ListBullet"/>
      </w:pPr>
      <w:r w:rsidRPr="76352147">
        <w:rPr>
          <w:lang w:val="en-GB"/>
        </w:rPr>
        <w:t>GD4 C. Use natural infrastructure and the 'healthy streets' process proactively to deliver climate-friendly projects, resilient spaces, healthy places and capture carbon.</w:t>
      </w:r>
    </w:p>
    <w:p w14:paraId="71B520C8" w14:textId="77777777" w:rsidR="002718E7" w:rsidRPr="00EF7C42" w:rsidRDefault="002718E7" w:rsidP="002718E7">
      <w:pPr>
        <w:pStyle w:val="ListBullet"/>
      </w:pPr>
      <w:r w:rsidRPr="00EF7C42">
        <w:t>GD5 A. Support the effective operation and growth of the Plymouth Net Zero Partnership in its city leadership role for the City's net zero agenda.</w:t>
      </w:r>
    </w:p>
    <w:p w14:paraId="4CB79077" w14:textId="6A7112B3" w:rsidR="002718E7" w:rsidRDefault="002718E7" w:rsidP="002718E7">
      <w:pPr>
        <w:pStyle w:val="ListBullet"/>
      </w:pPr>
      <w:r w:rsidRPr="76352147">
        <w:rPr>
          <w:lang w:val="en-US"/>
        </w:rPr>
        <w:t xml:space="preserve">GD5 B. Work with regional partners on the Devon Carbon Plan and the Devon, </w:t>
      </w:r>
      <w:r w:rsidR="006356F0" w:rsidRPr="76352147">
        <w:rPr>
          <w:lang w:val="en-US"/>
        </w:rPr>
        <w:t>Cornwall,</w:t>
      </w:r>
      <w:r w:rsidRPr="76352147">
        <w:rPr>
          <w:lang w:val="en-US"/>
        </w:rPr>
        <w:t xml:space="preserve"> and Isles of Scilly Adaptation Plan.</w:t>
      </w:r>
    </w:p>
    <w:p w14:paraId="21D93533" w14:textId="66778485" w:rsidR="00790421" w:rsidRPr="009D43B8" w:rsidRDefault="002718E7" w:rsidP="00860631">
      <w:pPr>
        <w:pStyle w:val="ListBullet"/>
      </w:pPr>
      <w:r w:rsidRPr="76352147">
        <w:rPr>
          <w:lang w:val="en-GB"/>
        </w:rPr>
        <w:t>GD6 A. Keep under review national policy and legislation relating to net zero, including identifying opportunities for influencing the Government through relevant public affairs activity as and when appropriate.</w:t>
      </w:r>
    </w:p>
    <w:p w14:paraId="02F8FA8B" w14:textId="77777777" w:rsidR="009D43B8" w:rsidRDefault="009D43B8" w:rsidP="009D43B8">
      <w:pPr>
        <w:pStyle w:val="ListBullet"/>
        <w:numPr>
          <w:ilvl w:val="0"/>
          <w:numId w:val="0"/>
        </w:numPr>
        <w:ind w:left="567" w:hanging="567"/>
      </w:pPr>
    </w:p>
    <w:p w14:paraId="31F182F6" w14:textId="77777777" w:rsidR="009D43B8" w:rsidRPr="00EF7C42" w:rsidRDefault="009D43B8" w:rsidP="009D43B8">
      <w:pPr>
        <w:pStyle w:val="ListBullet"/>
        <w:numPr>
          <w:ilvl w:val="0"/>
          <w:numId w:val="0"/>
        </w:numPr>
        <w:ind w:left="567" w:hanging="567"/>
      </w:pPr>
    </w:p>
    <w:sectPr w:rsidR="009D43B8" w:rsidRPr="00EF7C42" w:rsidSect="008E6AC0">
      <w:pgSz w:w="16840" w:h="11907" w:orient="landscape" w:code="9"/>
      <w:pgMar w:top="964" w:right="964" w:bottom="964" w:left="79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B4FF5" w14:textId="77777777" w:rsidR="00E365EA" w:rsidRDefault="00E365EA">
      <w:r>
        <w:separator/>
      </w:r>
    </w:p>
  </w:endnote>
  <w:endnote w:type="continuationSeparator" w:id="0">
    <w:p w14:paraId="6F535463" w14:textId="77777777" w:rsidR="00E365EA" w:rsidRDefault="00E365EA">
      <w:r>
        <w:continuationSeparator/>
      </w:r>
    </w:p>
  </w:endnote>
  <w:endnote w:type="continuationNotice" w:id="1">
    <w:p w14:paraId="2C03BC5F" w14:textId="77777777" w:rsidR="00E365EA" w:rsidRDefault="00E365E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Nova">
    <w:altName w:val="Calibri"/>
    <w:charset w:val="00"/>
    <w:family w:val="swiss"/>
    <w:pitch w:val="variable"/>
    <w:sig w:usb0="80000287" w:usb1="00000002"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6CE88" w14:textId="71E45ADD" w:rsidR="00803DEB" w:rsidRDefault="00803DEB" w:rsidP="00E243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0AD3493" w14:textId="77777777" w:rsidR="00803DEB" w:rsidRDefault="00803DEB" w:rsidP="005B7E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11106850"/>
      <w:docPartObj>
        <w:docPartGallery w:val="Page Numbers (Bottom of Page)"/>
        <w:docPartUnique/>
      </w:docPartObj>
    </w:sdtPr>
    <w:sdtContent>
      <w:p w14:paraId="289C2587" w14:textId="71034B50" w:rsidR="00803DEB" w:rsidRDefault="00803DEB" w:rsidP="00E243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756C">
          <w:rPr>
            <w:rStyle w:val="PageNumber"/>
            <w:noProof/>
          </w:rPr>
          <w:t>1</w:t>
        </w:r>
        <w:r>
          <w:rPr>
            <w:rStyle w:val="PageNumber"/>
          </w:rPr>
          <w:fldChar w:fldCharType="end"/>
        </w:r>
      </w:p>
    </w:sdtContent>
  </w:sdt>
  <w:p w14:paraId="049050D2" w14:textId="3FAF0427" w:rsidR="00803DEB" w:rsidRPr="00D446F1" w:rsidRDefault="00B2770E" w:rsidP="005B7E1C">
    <w:pPr>
      <w:pStyle w:val="Footer"/>
      <w:ind w:right="360"/>
      <w:rPr>
        <w:szCs w:val="18"/>
      </w:rPr>
    </w:pPr>
    <w:r>
      <w:t xml:space="preserve">V1 </w:t>
    </w:r>
    <w:r w:rsidR="00BA72CB">
      <w:t>12/02/2025</w:t>
    </w:r>
    <w:r w:rsidR="00803DEB">
      <w:t xml:space="preserve"> </w:t>
    </w:r>
    <w:r w:rsidR="00803DEB">
      <w:tab/>
    </w:r>
    <w:r w:rsidR="00803DEB">
      <w:rPr>
        <w:caps/>
      </w:rPr>
      <w:t>OFFICIAl: sensitive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5873004"/>
      <w:docPartObj>
        <w:docPartGallery w:val="Page Numbers (Bottom of Page)"/>
        <w:docPartUnique/>
      </w:docPartObj>
    </w:sdtPr>
    <w:sdtEndPr>
      <w:rPr>
        <w:noProof/>
      </w:rPr>
    </w:sdtEndPr>
    <w:sdtContent>
      <w:p w14:paraId="659A797A" w14:textId="02332EB7" w:rsidR="00803DEB" w:rsidRDefault="00803DEB" w:rsidP="00455915">
        <w:pPr>
          <w:numPr>
            <w:ilvl w:val="0"/>
            <w:numId w:val="0"/>
          </w:numPr>
        </w:pPr>
        <w:r>
          <w:fldChar w:fldCharType="begin"/>
        </w:r>
        <w:r>
          <w:instrText xml:space="preserve"> PAGE   \* MERGEFORMAT </w:instrText>
        </w:r>
        <w:r>
          <w:fldChar w:fldCharType="separate"/>
        </w:r>
        <w:r w:rsidR="00E0756C">
          <w:rPr>
            <w:noProof/>
          </w:rPr>
          <w:t>33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16F48" w14:textId="77777777" w:rsidR="00E365EA" w:rsidRDefault="00E365EA">
      <w:r>
        <w:separator/>
      </w:r>
    </w:p>
  </w:footnote>
  <w:footnote w:type="continuationSeparator" w:id="0">
    <w:p w14:paraId="554A42F6" w14:textId="77777777" w:rsidR="00E365EA" w:rsidRDefault="00E365EA">
      <w:r>
        <w:continuationSeparator/>
      </w:r>
    </w:p>
  </w:footnote>
  <w:footnote w:type="continuationNotice" w:id="1">
    <w:p w14:paraId="6775577B" w14:textId="77777777" w:rsidR="00E365EA" w:rsidRDefault="00E365EA">
      <w:pPr>
        <w:spacing w:before="0"/>
      </w:pPr>
    </w:p>
  </w:footnote>
  <w:footnote w:id="2">
    <w:p w14:paraId="6EF27085" w14:textId="77777777" w:rsidR="009E294F" w:rsidRDefault="009E294F" w:rsidP="009E294F">
      <w:r w:rsidRPr="3BD8D774">
        <w:rPr>
          <w:rStyle w:val="FootnoteReference"/>
          <w:rFonts w:eastAsia="Gill Sans MT" w:cs="Gill Sans MT"/>
          <w:sz w:val="18"/>
          <w:szCs w:val="18"/>
        </w:rPr>
        <w:footnoteRef/>
      </w:r>
      <w:r w:rsidRPr="3BD8D774">
        <w:rPr>
          <w:rFonts w:eastAsia="Gill Sans MT" w:cs="Gill Sans MT"/>
          <w:sz w:val="18"/>
          <w:szCs w:val="18"/>
        </w:rPr>
        <w:t xml:space="preserve"> Scopes 1, 2 and 3 – are defined by an internationally accepted methodology for accounting for GHG emissions, the </w:t>
      </w:r>
      <w:hyperlink r:id="rId1">
        <w:r w:rsidRPr="3BD8D774">
          <w:rPr>
            <w:rStyle w:val="Hyperlink"/>
            <w:rFonts w:eastAsia="Gill Sans MT" w:cs="Gill Sans MT"/>
            <w:sz w:val="18"/>
            <w:szCs w:val="18"/>
          </w:rPr>
          <w:t>Greenhouse Gas Protocol</w:t>
        </w:r>
      </w:hyperlink>
      <w:r w:rsidRPr="3BD8D774">
        <w:rPr>
          <w:rFonts w:eastAsia="Gill Sans MT" w:cs="Gill Sans MT"/>
          <w:sz w:val="18"/>
          <w:szCs w:val="18"/>
        </w:rPr>
        <w:t>. Scope 1 emissions relate to the direct burning of fossil fuels by an organisation, for example fuel for transport or gas for heating, Scope 2 emissions relate to emissions from purchased or acquired electricity, steam, heat, and cooling. Scope 3 emissions relate to all other activities where emissions are generated by a third party on behalf of an organisation, for example across our supply chain.</w:t>
      </w:r>
    </w:p>
    <w:p w14:paraId="65D38617" w14:textId="77777777" w:rsidR="009E294F" w:rsidRDefault="009E294F" w:rsidP="009E294F">
      <w:pPr>
        <w:pStyle w:val="FootnoteText"/>
      </w:pPr>
    </w:p>
  </w:footnote>
  <w:footnote w:id="3">
    <w:p w14:paraId="7ECC1038" w14:textId="0870BDBF" w:rsidR="009E294F" w:rsidRDefault="009E294F" w:rsidP="009E294F">
      <w:pPr>
        <w:pStyle w:val="ListSubbullet"/>
        <w:numPr>
          <w:ilvl w:val="0"/>
          <w:numId w:val="0"/>
        </w:numPr>
      </w:pPr>
      <w:r w:rsidRPr="3BD8D774">
        <w:rPr>
          <w:rStyle w:val="FootnoteReference"/>
          <w:rFonts w:eastAsia="Gill Sans MT" w:cs="Gill Sans MT"/>
          <w:sz w:val="18"/>
          <w:szCs w:val="18"/>
        </w:rPr>
        <w:footnoteRef/>
      </w:r>
      <w:r w:rsidRPr="3BD8D774">
        <w:rPr>
          <w:rFonts w:eastAsia="Gill Sans MT" w:cs="Gill Sans MT"/>
          <w:sz w:val="18"/>
          <w:szCs w:val="18"/>
        </w:rPr>
        <w:t xml:space="preserve"> </w:t>
      </w:r>
      <w:r w:rsidR="009E5AD5" w:rsidRPr="009E5AD5">
        <w:rPr>
          <w:rFonts w:eastAsia="Gill Sans MT" w:cs="Gill Sans MT"/>
          <w:sz w:val="18"/>
          <w:szCs w:val="18"/>
          <w:lang w:val="en-GB"/>
        </w:rPr>
        <w:t xml:space="preserve">Total greenhouse gas emissions in Plymouth in 2022 </w:t>
      </w:r>
      <w:r w:rsidR="00582DF0">
        <w:rPr>
          <w:rFonts w:eastAsia="Gill Sans MT" w:cs="Gill Sans MT"/>
          <w:sz w:val="18"/>
          <w:szCs w:val="18"/>
          <w:lang w:val="en-GB"/>
        </w:rPr>
        <w:t>we</w:t>
      </w:r>
      <w:r w:rsidR="009E5AD5" w:rsidRPr="009E5AD5">
        <w:rPr>
          <w:rFonts w:eastAsia="Gill Sans MT" w:cs="Gill Sans MT"/>
          <w:sz w:val="18"/>
          <w:szCs w:val="18"/>
          <w:lang w:val="en-GB"/>
        </w:rPr>
        <w:t>re estimated at 995 kt CO</w:t>
      </w:r>
      <w:r w:rsidR="009E5AD5" w:rsidRPr="009E5AD5">
        <w:rPr>
          <w:rFonts w:eastAsia="Gill Sans MT" w:cs="Gill Sans MT"/>
          <w:sz w:val="18"/>
          <w:szCs w:val="18"/>
          <w:vertAlign w:val="subscript"/>
          <w:lang w:val="en-GB"/>
        </w:rPr>
        <w:t>2</w:t>
      </w:r>
      <w:r w:rsidR="009E5AD5" w:rsidRPr="009E5AD5">
        <w:rPr>
          <w:rFonts w:eastAsia="Gill Sans MT" w:cs="Gill Sans MT"/>
          <w:sz w:val="18"/>
          <w:szCs w:val="18"/>
          <w:lang w:val="en-GB"/>
        </w:rPr>
        <w:t>e</w:t>
      </w:r>
      <w:r w:rsidR="00582DF0">
        <w:rPr>
          <w:rFonts w:eastAsia="Gill Sans MT" w:cs="Gill Sans MT"/>
          <w:sz w:val="18"/>
          <w:szCs w:val="18"/>
          <w:lang w:val="en-GB"/>
        </w:rPr>
        <w:t xml:space="preserve">, </w:t>
      </w:r>
      <w:r w:rsidR="00B4222D">
        <w:rPr>
          <w:rFonts w:eastAsia="Gill Sans MT" w:cs="Gill Sans MT"/>
          <w:sz w:val="18"/>
          <w:szCs w:val="18"/>
          <w:lang w:val="en-GB"/>
        </w:rPr>
        <w:t xml:space="preserve">as per the </w:t>
      </w:r>
      <w:r w:rsidR="008700BA">
        <w:rPr>
          <w:rFonts w:eastAsia="Gill Sans MT" w:cs="Gill Sans MT"/>
          <w:sz w:val="18"/>
          <w:szCs w:val="18"/>
          <w:lang w:val="en-GB"/>
        </w:rPr>
        <w:t xml:space="preserve">City’s greenhouse gas report 2023, available on </w:t>
      </w:r>
      <w:hyperlink r:id="rId2" w:history="1">
        <w:r w:rsidR="008700BA" w:rsidRPr="008700BA">
          <w:rPr>
            <w:rStyle w:val="Hyperlink"/>
            <w:rFonts w:eastAsia="Gill Sans MT" w:cs="Gill Sans MT"/>
            <w:sz w:val="18"/>
            <w:szCs w:val="18"/>
            <w:lang w:val="en-GB"/>
          </w:rPr>
          <w:t>climate connections</w:t>
        </w:r>
      </w:hyperlink>
      <w:r w:rsidR="008700BA">
        <w:rPr>
          <w:rFonts w:eastAsia="Gill Sans MT" w:cs="Gill Sans MT"/>
          <w:sz w:val="18"/>
          <w:szCs w:val="18"/>
          <w:lang w:val="en-GB"/>
        </w:rPr>
        <w:t>.</w:t>
      </w:r>
    </w:p>
  </w:footnote>
  <w:footnote w:id="4">
    <w:p w14:paraId="75973BD0" w14:textId="03BD2D09" w:rsidR="009E294F" w:rsidRDefault="009E294F" w:rsidP="009E294F">
      <w:pPr>
        <w:pStyle w:val="ListSubbullet"/>
        <w:numPr>
          <w:ilvl w:val="0"/>
          <w:numId w:val="0"/>
        </w:numPr>
      </w:pPr>
      <w:r w:rsidRPr="3BD8D774">
        <w:rPr>
          <w:rStyle w:val="FootnoteReference"/>
          <w:rFonts w:eastAsia="Gill Sans MT" w:cs="Gill Sans MT"/>
          <w:sz w:val="18"/>
          <w:szCs w:val="18"/>
        </w:rPr>
        <w:footnoteRef/>
      </w:r>
      <w:r w:rsidRPr="3BD8D774">
        <w:rPr>
          <w:rFonts w:eastAsia="Gill Sans MT" w:cs="Gill Sans MT"/>
          <w:sz w:val="18"/>
          <w:szCs w:val="18"/>
        </w:rPr>
        <w:t xml:space="preserve"> Matrix Evans, </w:t>
      </w:r>
      <w:r w:rsidR="00AB3B84">
        <w:rPr>
          <w:rFonts w:eastAsia="Gill Sans MT" w:cs="Gill Sans MT"/>
          <w:sz w:val="18"/>
          <w:szCs w:val="18"/>
        </w:rPr>
        <w:t xml:space="preserve">L. (2020) </w:t>
      </w:r>
      <w:r>
        <w:rPr>
          <w:rFonts w:eastAsia="Gill Sans MT" w:cs="Gill Sans MT"/>
          <w:sz w:val="18"/>
          <w:szCs w:val="18"/>
        </w:rPr>
        <w:t>‘</w:t>
      </w:r>
      <w:r w:rsidRPr="3BD8D774">
        <w:rPr>
          <w:rFonts w:eastAsia="Gill Sans MT" w:cs="Gill Sans MT"/>
          <w:sz w:val="18"/>
          <w:szCs w:val="18"/>
        </w:rPr>
        <w:t>Local Authorities and the Sixth Carbon Budget</w:t>
      </w:r>
      <w:r>
        <w:rPr>
          <w:rFonts w:eastAsia="Gill Sans MT" w:cs="Gill Sans MT"/>
          <w:sz w:val="18"/>
          <w:szCs w:val="18"/>
        </w:rPr>
        <w:t xml:space="preserve">, </w:t>
      </w:r>
      <w:r w:rsidRPr="3BD8D774">
        <w:rPr>
          <w:rFonts w:eastAsia="Gill Sans MT" w:cs="Gill Sans MT"/>
          <w:sz w:val="18"/>
          <w:szCs w:val="18"/>
        </w:rPr>
        <w:t>an independent report for the Climate Change Committee</w:t>
      </w:r>
      <w:r w:rsidR="00AB3B84">
        <w:rPr>
          <w:rFonts w:eastAsia="Gill Sans MT" w:cs="Gill Sans MT"/>
          <w:sz w:val="18"/>
          <w:szCs w:val="18"/>
        </w:rPr>
        <w:t>,’</w:t>
      </w:r>
      <w:r w:rsidRPr="3BD8D774">
        <w:rPr>
          <w:rFonts w:eastAsia="Gill Sans MT" w:cs="Gill Sans MT"/>
          <w:sz w:val="18"/>
          <w:szCs w:val="18"/>
        </w:rPr>
        <w:t xml:space="preserve"> p.3.</w:t>
      </w:r>
      <w:r w:rsidR="00BB4BC9">
        <w:rPr>
          <w:rFonts w:eastAsia="Gill Sans MT" w:cs="Gill Sans MT"/>
          <w:sz w:val="18"/>
          <w:szCs w:val="18"/>
        </w:rPr>
        <w:t xml:space="preserve"> available on the Climate Change Committee</w:t>
      </w:r>
      <w:r w:rsidR="00EC1F06">
        <w:rPr>
          <w:rFonts w:eastAsia="Gill Sans MT" w:cs="Gill Sans MT"/>
          <w:sz w:val="18"/>
          <w:szCs w:val="18"/>
        </w:rPr>
        <w:t xml:space="preserve"> </w:t>
      </w:r>
      <w:hyperlink r:id="rId3" w:history="1">
        <w:r w:rsidR="00EC1F06" w:rsidRPr="00EC1F06">
          <w:rPr>
            <w:rStyle w:val="Hyperlink"/>
            <w:rFonts w:eastAsia="Gill Sans MT" w:cs="Gill Sans MT"/>
            <w:sz w:val="18"/>
            <w:szCs w:val="18"/>
          </w:rPr>
          <w:t>website</w:t>
        </w:r>
      </w:hyperlink>
    </w:p>
  </w:footnote>
  <w:footnote w:id="5">
    <w:p w14:paraId="45DE83FD" w14:textId="77777777" w:rsidR="009E294F" w:rsidRDefault="009E294F" w:rsidP="009E294F">
      <w:r w:rsidRPr="3BD8D774">
        <w:rPr>
          <w:rStyle w:val="FootnoteReference"/>
          <w:rFonts w:eastAsia="Gill Sans MT" w:cs="Gill Sans MT"/>
          <w:sz w:val="18"/>
          <w:szCs w:val="18"/>
        </w:rPr>
        <w:footnoteRef/>
      </w:r>
      <w:r w:rsidRPr="3BD8D774">
        <w:rPr>
          <w:rFonts w:eastAsia="Gill Sans MT" w:cs="Gill Sans MT"/>
          <w:sz w:val="18"/>
          <w:szCs w:val="18"/>
        </w:rPr>
        <w:t xml:space="preserve"> Notes on the Carbon Management Hierarchy (CMH). </w:t>
      </w:r>
    </w:p>
    <w:p w14:paraId="047A4A45" w14:textId="77777777" w:rsidR="009E294F" w:rsidRDefault="009E294F" w:rsidP="009E294F">
      <w:r w:rsidRPr="3BD8D774">
        <w:rPr>
          <w:rFonts w:eastAsia="Gill Sans MT" w:cs="Gill Sans MT"/>
          <w:sz w:val="18"/>
          <w:szCs w:val="18"/>
        </w:rPr>
        <w:t xml:space="preserve">Actions at the top of the hierarchy are prioritised as they have a more lasting impacts on reducing emissions overall. </w:t>
      </w:r>
    </w:p>
    <w:p w14:paraId="627FE5DF" w14:textId="77777777" w:rsidR="009E294F" w:rsidRDefault="009E294F" w:rsidP="009E294F">
      <w:r w:rsidRPr="3BD8D774">
        <w:rPr>
          <w:rFonts w:eastAsia="Gill Sans MT" w:cs="Gill Sans MT"/>
          <w:sz w:val="18"/>
          <w:szCs w:val="18"/>
        </w:rPr>
        <w:t xml:space="preserve">Avoid – rethink business strategy to avoid carbon intensive activities. </w:t>
      </w:r>
    </w:p>
    <w:p w14:paraId="5FA28DAD" w14:textId="77777777" w:rsidR="009E294F" w:rsidRDefault="009E294F" w:rsidP="009E294F">
      <w:r w:rsidRPr="3BD8D774">
        <w:rPr>
          <w:rFonts w:eastAsia="Gill Sans MT" w:cs="Gill Sans MT"/>
          <w:sz w:val="18"/>
          <w:szCs w:val="18"/>
        </w:rPr>
        <w:t>Reduce – Conduct our business more efficiently.</w:t>
      </w:r>
    </w:p>
    <w:p w14:paraId="7A2214BD" w14:textId="77777777" w:rsidR="009E294F" w:rsidRDefault="009E294F" w:rsidP="009E294F">
      <w:r w:rsidRPr="3BD8D774">
        <w:rPr>
          <w:rFonts w:eastAsia="Gill Sans MT" w:cs="Gill Sans MT"/>
          <w:sz w:val="18"/>
          <w:szCs w:val="18"/>
        </w:rPr>
        <w:t>Replace – Replace high-carbon energy sources with low-carbon energy sources.</w:t>
      </w:r>
    </w:p>
    <w:p w14:paraId="08829046" w14:textId="77777777" w:rsidR="009E294F" w:rsidRDefault="009E294F" w:rsidP="009E294F">
      <w:r w:rsidRPr="3BD8D774">
        <w:rPr>
          <w:rFonts w:eastAsia="Gill Sans MT" w:cs="Gill Sans MT"/>
          <w:sz w:val="18"/>
          <w:szCs w:val="18"/>
        </w:rPr>
        <w:t>Offset – offset those emissions that cannot be eliminated by the above</w:t>
      </w:r>
    </w:p>
    <w:p w14:paraId="13E5796A" w14:textId="77777777" w:rsidR="009E294F" w:rsidRDefault="009E294F" w:rsidP="009E294F">
      <w:pPr>
        <w:pStyle w:val="FootnoteText"/>
      </w:pPr>
    </w:p>
  </w:footnote>
  <w:footnote w:id="6">
    <w:p w14:paraId="656FA2E2" w14:textId="0365F16E" w:rsidR="009E294F" w:rsidRDefault="009E294F" w:rsidP="009E294F">
      <w:pPr>
        <w:pStyle w:val="FootnoteText"/>
      </w:pPr>
      <w:r w:rsidRPr="3BD8D774">
        <w:rPr>
          <w:rStyle w:val="FootnoteReference"/>
        </w:rPr>
        <w:footnoteRef/>
      </w:r>
      <w:r>
        <w:t xml:space="preserve"> Climate Change</w:t>
      </w:r>
      <w:r w:rsidR="00EC1F06">
        <w:t xml:space="preserve"> Committee (2020)</w:t>
      </w:r>
      <w:r>
        <w:t xml:space="preserve"> The 6</w:t>
      </w:r>
      <w:r w:rsidRPr="3BD8D774">
        <w:rPr>
          <w:vertAlign w:val="superscript"/>
        </w:rPr>
        <w:t>th</w:t>
      </w:r>
      <w:r>
        <w:t xml:space="preserve"> Carbon Budget the UK’s Path to Net Zero, Figure B2.2 Role of societal and behavioural changes in the Balanced Net Zero Pathway (2035), p70, </w:t>
      </w:r>
      <w:r w:rsidR="009D2DB7">
        <w:t xml:space="preserve">available on the climate change committee </w:t>
      </w:r>
      <w:hyperlink r:id="rId4" w:history="1">
        <w:r w:rsidR="009D2DB7" w:rsidRPr="00A250C9">
          <w:rPr>
            <w:rStyle w:val="Hyperlink"/>
            <w:sz w:val="20"/>
          </w:rPr>
          <w:t>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AFCD" w14:textId="2EC1C995" w:rsidR="00803DEB" w:rsidRDefault="00803DEB">
    <w:pPr>
      <w:pStyle w:val="Header"/>
    </w:pPr>
    <w:r>
      <w:rPr>
        <w:noProof/>
      </w:rPr>
      <mc:AlternateContent>
        <mc:Choice Requires="wps">
          <w:drawing>
            <wp:anchor distT="0" distB="0" distL="114300" distR="114300" simplePos="0" relativeHeight="251658241" behindDoc="0" locked="0" layoutInCell="0" allowOverlap="1" wp14:anchorId="5B5F1CB6" wp14:editId="0734E581">
              <wp:simplePos x="0" y="0"/>
              <wp:positionH relativeFrom="page">
                <wp:align>left</wp:align>
              </wp:positionH>
              <wp:positionV relativeFrom="page">
                <wp:align>top</wp:align>
              </wp:positionV>
              <wp:extent cx="7772400" cy="442595"/>
              <wp:effectExtent l="0" t="0" r="0" b="14605"/>
              <wp:wrapNone/>
              <wp:docPr id="11" name="MSIPCM67d84633bfa32c25a1d3a530" descr="{&quot;HashCode&quot;:349282919,&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59C63F" w14:textId="44D75231" w:rsidR="00803DEB" w:rsidRPr="00E0756C" w:rsidRDefault="00E0756C" w:rsidP="00E0756C">
                          <w:pPr>
                            <w:spacing w:before="0"/>
                            <w:rPr>
                              <w:rFonts w:ascii="Arial" w:hAnsi="Arial" w:cs="Arial"/>
                              <w:color w:val="000000"/>
                            </w:rPr>
                          </w:pPr>
                          <w:r w:rsidRPr="00E0756C">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B5F1CB6" id="_x0000_t202" coordsize="21600,21600" o:spt="202" path="m,l,21600r21600,l21600,xe">
              <v:stroke joinstyle="miter"/>
              <v:path gradientshapeok="t" o:connecttype="rect"/>
            </v:shapetype>
            <v:shape id="MSIPCM67d84633bfa32c25a1d3a530" o:spid="_x0000_s1026" type="#_x0000_t202" alt="{&quot;HashCode&quot;:349282919,&quot;Height&quot;:9999999.0,&quot;Width&quot;:9999999.0,&quot;Placement&quot;:&quot;Header&quot;,&quot;Index&quot;:&quot;Primary&quot;,&quot;Section&quot;:1,&quot;Top&quot;:0.0,&quot;Left&quot;:0.0}" style="position:absolute;margin-left:0;margin-top:0;width:612pt;height:34.85pt;z-index:25165824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dGGQIAACcEAAAOAAAAZHJzL2Uyb0RvYy54bWysU99v2jAQfp+0/8Hy+0hgUNqIULFWTJNQ&#10;W4lOfTaOTSLZPs82JOyv39kJMHV7mvbi3Pku9+P7Pi/uO63IUTjfgCnpeJRTIgyHqjH7kn5/XX+6&#10;pcQHZiqmwIiSnoSn98uPHxatLcQEalCVcASLGF+0tqR1CLbIMs9roZkfgRUGgxKcZgFdt88qx1qs&#10;rlU2yfObrAVXWQdceI+3j32QLlN9KQUPz1J6EYgqKc4W0unSuYtntlywYu+YrRs+jMH+YQrNGoNN&#10;L6UeWWDk4Jo/SumGO/Agw4iDzkDKhou0A24zzt9ts62ZFWkXBMfbC0z+/5XlT8etfXEkdF+gQwIj&#10;IK31hcfLuE8nnY5fnJRgHCE8XWATXSAcL+fz+WSaY4hjbDqdzO5msUx2/ds6H74K0CQaJXVIS0KL&#10;HTc+9KnnlNjMwLpRKlGjDGlLevN5lqcfLhEsrgz2uM4ardDtumGBHVQn3MtBT7m3fN1g8w3z4YU5&#10;5BjnRd2GZzykAmwCg0VJDe7n3+5jPkKPUUpa1ExJ/Y8Dc4IS9c0gKZMZwhBVljw0XDLuxtMpOrvz&#10;rTnoB0A9jvFpWJ7MmBvU2ZQO9BvqehXbYYgZjk1LyoM7Ow+hFzG+DC5Wq5SGirIsbMzW8lg8IhlR&#10;fe3emLMD9AFJe4KzsFjxjoE+t+dgdQggm0RPxLYHdIAc1ZgIHl5OlPvvfsq6vu/lLwAAAP//AwBQ&#10;SwMEFAAGAAgAAAAhABVdfBnaAAAABQEAAA8AAABkcnMvZG93bnJldi54bWxMj0FLw0AQhe+C/2EZ&#10;wZvddJVaYzZFREEQBGN7n2SnSXB3Ns1u2/Tfu/WilwePN7z3TbGanBUHGkPvWcN8loEgbrzpudWw&#10;/nq9WYIIEdmg9UwaThRgVV5eFJgbf+RPOlSxFamEQ44auhiHXMrQdOQwzPxAnLKtHx3GZMdWmhGP&#10;qdxZqbJsIR32nBY6HOi5o+a72jsNfrfDZa2Ut5u5eX+7/aiql+1J6+ur6ekRRKQp/h3DGT+hQ5mY&#10;ar9nE4TVkB6Jv3rOlLpLvtaweLgHWRbyP335AwAA//8DAFBLAQItABQABgAIAAAAIQC2gziS/gAA&#10;AOEBAAATAAAAAAAAAAAAAAAAAAAAAABbQ29udGVudF9UeXBlc10ueG1sUEsBAi0AFAAGAAgAAAAh&#10;ADj9If/WAAAAlAEAAAsAAAAAAAAAAAAAAAAALwEAAF9yZWxzLy5yZWxzUEsBAi0AFAAGAAgAAAAh&#10;AM+gV0YZAgAAJwQAAA4AAAAAAAAAAAAAAAAALgIAAGRycy9lMm9Eb2MueG1sUEsBAi0AFAAGAAgA&#10;AAAhABVdfBnaAAAABQEAAA8AAAAAAAAAAAAAAAAAcwQAAGRycy9kb3ducmV2LnhtbFBLBQYAAAAA&#10;BAAEAPMAAAB6BQAAAAA=&#10;" o:allowincell="f" filled="f" stroked="f" strokeweight=".5pt">
              <v:textbox inset="20pt,0,,0">
                <w:txbxContent>
                  <w:p w14:paraId="3759C63F" w14:textId="44D75231" w:rsidR="00803DEB" w:rsidRPr="00E0756C" w:rsidRDefault="00E0756C" w:rsidP="00E0756C">
                    <w:pPr>
                      <w:spacing w:before="0"/>
                      <w:rPr>
                        <w:rFonts w:ascii="Arial" w:hAnsi="Arial" w:cs="Arial"/>
                        <w:color w:val="000000"/>
                      </w:rPr>
                    </w:pPr>
                    <w:r w:rsidRPr="00E0756C">
                      <w:rPr>
                        <w:rFonts w:ascii="Arial" w:hAnsi="Arial" w:cs="Arial"/>
                        <w:color w:val="000000"/>
                      </w:rPr>
                      <w:t>OFFICIAL</w:t>
                    </w:r>
                  </w:p>
                </w:txbxContent>
              </v:textbox>
              <w10:wrap anchorx="page" anchory="page"/>
            </v:shape>
          </w:pict>
        </mc:Fallback>
      </mc:AlternateContent>
    </w:r>
    <w:r>
      <w:rPr>
        <w:noProof/>
      </w:rPr>
      <w:drawing>
        <wp:anchor distT="0" distB="0" distL="114300" distR="114300" simplePos="0" relativeHeight="251658240" behindDoc="1" locked="0" layoutInCell="1" allowOverlap="1" wp14:anchorId="74AD6A53" wp14:editId="13552D94">
          <wp:simplePos x="0" y="0"/>
          <wp:positionH relativeFrom="column">
            <wp:posOffset>-612140</wp:posOffset>
          </wp:positionH>
          <wp:positionV relativeFrom="paragraph">
            <wp:posOffset>-360045</wp:posOffset>
          </wp:positionV>
          <wp:extent cx="7556500" cy="9734550"/>
          <wp:effectExtent l="0" t="0" r="6350" b="0"/>
          <wp:wrapNone/>
          <wp:docPr id="1304105011" name="Picture 130410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jpg"/>
                  <pic:cNvPicPr/>
                </pic:nvPicPr>
                <pic:blipFill rotWithShape="1">
                  <a:blip r:embed="rId1" cstate="print">
                    <a:extLst>
                      <a:ext uri="{28A0092B-C50C-407E-A947-70E740481C1C}">
                        <a14:useLocalDpi xmlns:a14="http://schemas.microsoft.com/office/drawing/2010/main" val="0"/>
                      </a:ext>
                    </a:extLst>
                  </a:blip>
                  <a:srcRect b="8912"/>
                  <a:stretch/>
                </pic:blipFill>
                <pic:spPr bwMode="auto">
                  <a:xfrm>
                    <a:off x="0" y="0"/>
                    <a:ext cx="7560000" cy="97390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67F6" w14:textId="18565AEB" w:rsidR="00803DEB" w:rsidRDefault="00803DEB" w:rsidP="00DB12C2">
    <w:pPr>
      <w:pStyle w:val="Footer"/>
      <w:jc w:val="right"/>
    </w:pPr>
    <w:r>
      <w:rPr>
        <w:noProof/>
      </w:rPr>
      <mc:AlternateContent>
        <mc:Choice Requires="wps">
          <w:drawing>
            <wp:anchor distT="0" distB="0" distL="114300" distR="114300" simplePos="0" relativeHeight="251658242" behindDoc="0" locked="0" layoutInCell="0" allowOverlap="1" wp14:anchorId="43EA9FD8" wp14:editId="2053D693">
              <wp:simplePos x="0" y="0"/>
              <wp:positionH relativeFrom="page">
                <wp:align>left</wp:align>
              </wp:positionH>
              <wp:positionV relativeFrom="page">
                <wp:align>top</wp:align>
              </wp:positionV>
              <wp:extent cx="7772400" cy="442595"/>
              <wp:effectExtent l="0" t="0" r="0" b="14605"/>
              <wp:wrapNone/>
              <wp:docPr id="12" name="MSIPCM1fa74f6eaf6ed01029748cab" descr="{&quot;HashCode&quot;:349282919,&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90657D" w14:textId="0EB644B1" w:rsidR="00803DEB" w:rsidRPr="00E0756C" w:rsidRDefault="00E0756C" w:rsidP="00E0756C">
                          <w:pPr>
                            <w:spacing w:before="0"/>
                            <w:rPr>
                              <w:rFonts w:ascii="Arial" w:hAnsi="Arial" w:cs="Arial"/>
                              <w:color w:val="000000"/>
                            </w:rPr>
                          </w:pPr>
                          <w:r w:rsidRPr="00E0756C">
                            <w:rPr>
                              <w:rFonts w:ascii="Arial" w:hAnsi="Arial" w:cs="Arial"/>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3EA9FD8" id="_x0000_t202" coordsize="21600,21600" o:spt="202" path="m,l,21600r21600,l21600,xe">
              <v:stroke joinstyle="miter"/>
              <v:path gradientshapeok="t" o:connecttype="rect"/>
            </v:shapetype>
            <v:shape id="MSIPCM1fa74f6eaf6ed01029748cab" o:spid="_x0000_s1027" type="#_x0000_t202" alt="{&quot;HashCode&quot;:349282919,&quot;Height&quot;:9999999.0,&quot;Width&quot;:9999999.0,&quot;Placement&quot;:&quot;Header&quot;,&quot;Index&quot;:&quot;Primary&quot;,&quot;Section&quot;:3,&quot;Top&quot;:0.0,&quot;Left&quot;:0.0}" style="position:absolute;left:0;text-align:left;margin-left:0;margin-top:0;width:612pt;height:34.85pt;z-index:25165824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f0GwIAAC4EAAAOAAAAZHJzL2Uyb0RvYy54bWysU01v2zAMvQ/YfxB0X5xkSbMacYqsRYYB&#10;QVsgHXpWZCk2IIsapcTOfv0oOR9Ft9Owi0yKND/ee5rfdY1hB4W+Blvw0WDImbISytruCv7jZfXp&#10;C2c+CFsKA1YV/Kg8v1t8/DBvXa7GUIEpFTIqYn3euoJXIbg8y7ysVCP8AJyyFNSAjQjk4i4rUbRU&#10;vTHZeDi8yVrA0iFI5T3dPvRBvkj1tVYyPGntVWCm4DRbSCemcxvPbDEX+Q6Fq2p5GkP8wxSNqC01&#10;vZR6EEGwPdZ/lGpqieBBh4GEJgOta6nSDrTNaPhum00lnEq7EDjeXWDy/6+sfDxs3DOy0H2FjgiM&#10;gLTO554u4z6dxiZ+aVJGcYLweIFNdYFJupzNZuPJkEKSYpPJeHo7jWWy698OffimoGHRKDgSLQkt&#10;cVj70KeeU2IzC6vamESNsawt+M3n6TD9cIlQcWOpx3XWaIVu27G6fLPHFsojrYfQM++dXNU0w1r4&#10;8CyQqKaxSb7hiQ5tgHrByeKsAvz1t/uYTwxQlLOWpFNw/3MvUHFmvlviZjwlNKLYkkcGJuN2NJmQ&#10;sz3f2n1zDyTLEb0QJ5MZc4M5mxqheSV5L2M7CgkrqWnBZcCzcx96LdMDkWq5TGkkLCfC2m6cjMUj&#10;oBHcl+5VoDsxEIi7RzjrS+TviOhzeyqW+wC6TixFiHtAT8iTKBPPpwcUVf/WT1nXZ774DQAA//8D&#10;AFBLAwQUAAYACAAAACEAFV18GdoAAAAFAQAADwAAAGRycy9kb3ducmV2LnhtbEyPQUvDQBCF74L/&#10;YRnBm910lVpjNkVEQRAEY3ufZKdJcHc2zW7b9N+79aKXB483vPdNsZqcFQcaQ+9Zw3yWgSBuvOm5&#10;1bD+er1ZgggR2aD1TBpOFGBVXl4UmBt/5E86VLEVqYRDjhq6GIdcytB05DDM/ECcsq0fHcZkx1aa&#10;EY+p3FmpsmwhHfacFjoc6Lmj5rvaOw1+t8NlrZS3m7l5f7v9qKqX7Unr66vp6RFEpCn+HcMZP6FD&#10;mZhqv2cThNWQHom/es6Uuku+1rB4uAdZFvI/ffkDAAD//wMAUEsBAi0AFAAGAAgAAAAhALaDOJL+&#10;AAAA4QEAABMAAAAAAAAAAAAAAAAAAAAAAFtDb250ZW50X1R5cGVzXS54bWxQSwECLQAUAAYACAAA&#10;ACEAOP0h/9YAAACUAQAACwAAAAAAAAAAAAAAAAAvAQAAX3JlbHMvLnJlbHNQSwECLQAUAAYACAAA&#10;ACEA7t5H9BsCAAAuBAAADgAAAAAAAAAAAAAAAAAuAgAAZHJzL2Uyb0RvYy54bWxQSwECLQAUAAYA&#10;CAAAACEAFV18GdoAAAAFAQAADwAAAAAAAAAAAAAAAAB1BAAAZHJzL2Rvd25yZXYueG1sUEsFBgAA&#10;AAAEAAQA8wAAAHwFAAAAAA==&#10;" o:allowincell="f" filled="f" stroked="f" strokeweight=".5pt">
              <v:textbox inset="20pt,0,,0">
                <w:txbxContent>
                  <w:p w14:paraId="5790657D" w14:textId="0EB644B1" w:rsidR="00803DEB" w:rsidRPr="00E0756C" w:rsidRDefault="00E0756C" w:rsidP="00E0756C">
                    <w:pPr>
                      <w:spacing w:before="0"/>
                      <w:rPr>
                        <w:rFonts w:ascii="Arial" w:hAnsi="Arial" w:cs="Arial"/>
                        <w:color w:val="000000"/>
                      </w:rPr>
                    </w:pPr>
                    <w:r w:rsidRPr="00E0756C">
                      <w:rPr>
                        <w:rFonts w:ascii="Arial" w:hAnsi="Arial" w:cs="Arial"/>
                        <w:color w:val="000000"/>
                      </w:rPr>
                      <w:t>OFFICIAL</w:t>
                    </w:r>
                  </w:p>
                </w:txbxContent>
              </v:textbox>
              <w10:wrap anchorx="page" anchory="page"/>
            </v:shape>
          </w:pict>
        </mc:Fallback>
      </mc:AlternateContent>
    </w:r>
    <w:r>
      <w:t>PLYMOUTH CITY COUNCIL</w:t>
    </w:r>
  </w:p>
  <w:p w14:paraId="1D01D8EA" w14:textId="77777777" w:rsidR="00803DEB" w:rsidRDefault="00803D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D2C352"/>
    <w:lvl w:ilvl="0">
      <w:start w:val="1"/>
      <w:numFmt w:val="decimal"/>
      <w:pStyle w:val="ListNumber5"/>
      <w:lvlText w:val="%1."/>
      <w:lvlJc w:val="left"/>
      <w:pPr>
        <w:tabs>
          <w:tab w:val="num" w:pos="11192"/>
        </w:tabs>
        <w:ind w:left="11192" w:hanging="360"/>
      </w:pPr>
    </w:lvl>
  </w:abstractNum>
  <w:abstractNum w:abstractNumId="1" w15:restartNumberingAfterBreak="0">
    <w:nsid w:val="FFFFFF7D"/>
    <w:multiLevelType w:val="singleLevel"/>
    <w:tmpl w:val="4A2015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265E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2A05A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E6365FEE"/>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3DDA567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25757A"/>
    <w:multiLevelType w:val="hybridMultilevel"/>
    <w:tmpl w:val="3EA0CD5E"/>
    <w:lvl w:ilvl="0" w:tplc="CCCE7FC4">
      <w:start w:val="1"/>
      <w:numFmt w:val="bullet"/>
      <w:pStyle w:val="ListSub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062E347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A795E1"/>
    <w:multiLevelType w:val="hybridMultilevel"/>
    <w:tmpl w:val="F006BE88"/>
    <w:lvl w:ilvl="0" w:tplc="F704EBEE">
      <w:start w:val="1"/>
      <w:numFmt w:val="bullet"/>
      <w:pStyle w:val="CommentText"/>
      <w:lvlText w:val="·"/>
      <w:lvlJc w:val="left"/>
      <w:pPr>
        <w:ind w:left="720" w:hanging="360"/>
      </w:pPr>
      <w:rPr>
        <w:rFonts w:ascii="Symbol" w:hAnsi="Symbol" w:hint="default"/>
      </w:rPr>
    </w:lvl>
    <w:lvl w:ilvl="1" w:tplc="9B28C68C">
      <w:start w:val="1"/>
      <w:numFmt w:val="bullet"/>
      <w:lvlText w:val="o"/>
      <w:lvlJc w:val="left"/>
      <w:pPr>
        <w:ind w:left="1440" w:hanging="360"/>
      </w:pPr>
      <w:rPr>
        <w:rFonts w:ascii="Courier New" w:hAnsi="Courier New" w:hint="default"/>
      </w:rPr>
    </w:lvl>
    <w:lvl w:ilvl="2" w:tplc="9500BB68">
      <w:start w:val="1"/>
      <w:numFmt w:val="bullet"/>
      <w:lvlText w:val=""/>
      <w:lvlJc w:val="left"/>
      <w:pPr>
        <w:ind w:left="2160" w:hanging="360"/>
      </w:pPr>
      <w:rPr>
        <w:rFonts w:ascii="Wingdings" w:hAnsi="Wingdings" w:hint="default"/>
      </w:rPr>
    </w:lvl>
    <w:lvl w:ilvl="3" w:tplc="27AE900C">
      <w:start w:val="1"/>
      <w:numFmt w:val="bullet"/>
      <w:lvlText w:val=""/>
      <w:lvlJc w:val="left"/>
      <w:pPr>
        <w:ind w:left="2880" w:hanging="360"/>
      </w:pPr>
      <w:rPr>
        <w:rFonts w:ascii="Symbol" w:hAnsi="Symbol" w:hint="default"/>
      </w:rPr>
    </w:lvl>
    <w:lvl w:ilvl="4" w:tplc="84901AA8">
      <w:start w:val="1"/>
      <w:numFmt w:val="bullet"/>
      <w:lvlText w:val="o"/>
      <w:lvlJc w:val="left"/>
      <w:pPr>
        <w:ind w:left="3600" w:hanging="360"/>
      </w:pPr>
      <w:rPr>
        <w:rFonts w:ascii="Courier New" w:hAnsi="Courier New" w:hint="default"/>
      </w:rPr>
    </w:lvl>
    <w:lvl w:ilvl="5" w:tplc="F05829AA">
      <w:start w:val="1"/>
      <w:numFmt w:val="bullet"/>
      <w:lvlText w:val=""/>
      <w:lvlJc w:val="left"/>
      <w:pPr>
        <w:ind w:left="4320" w:hanging="360"/>
      </w:pPr>
      <w:rPr>
        <w:rFonts w:ascii="Wingdings" w:hAnsi="Wingdings" w:hint="default"/>
      </w:rPr>
    </w:lvl>
    <w:lvl w:ilvl="6" w:tplc="E38E81C8">
      <w:start w:val="1"/>
      <w:numFmt w:val="bullet"/>
      <w:lvlText w:val=""/>
      <w:lvlJc w:val="left"/>
      <w:pPr>
        <w:ind w:left="5040" w:hanging="360"/>
      </w:pPr>
      <w:rPr>
        <w:rFonts w:ascii="Symbol" w:hAnsi="Symbol" w:hint="default"/>
      </w:rPr>
    </w:lvl>
    <w:lvl w:ilvl="7" w:tplc="7DE8BF10">
      <w:start w:val="1"/>
      <w:numFmt w:val="bullet"/>
      <w:lvlText w:val="o"/>
      <w:lvlJc w:val="left"/>
      <w:pPr>
        <w:ind w:left="5760" w:hanging="360"/>
      </w:pPr>
      <w:rPr>
        <w:rFonts w:ascii="Courier New" w:hAnsi="Courier New" w:hint="default"/>
      </w:rPr>
    </w:lvl>
    <w:lvl w:ilvl="8" w:tplc="7482FE8E">
      <w:start w:val="1"/>
      <w:numFmt w:val="bullet"/>
      <w:lvlText w:val=""/>
      <w:lvlJc w:val="left"/>
      <w:pPr>
        <w:ind w:left="6480" w:hanging="360"/>
      </w:pPr>
      <w:rPr>
        <w:rFonts w:ascii="Wingdings" w:hAnsi="Wingdings" w:hint="default"/>
      </w:rPr>
    </w:lvl>
  </w:abstractNum>
  <w:abstractNum w:abstractNumId="9" w15:restartNumberingAfterBreak="0">
    <w:nsid w:val="39C9251C"/>
    <w:multiLevelType w:val="hybridMultilevel"/>
    <w:tmpl w:val="C10EB380"/>
    <w:lvl w:ilvl="0" w:tplc="FFFFFFFF">
      <w:start w:val="1"/>
      <w:numFmt w:val="decimal"/>
      <w:lvlText w:val="%1."/>
      <w:lvlJc w:val="left"/>
      <w:pPr>
        <w:ind w:left="720" w:hanging="72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1836DB9"/>
    <w:multiLevelType w:val="multilevel"/>
    <w:tmpl w:val="B2A4CC84"/>
    <w:styleLink w:val="Numbered"/>
    <w:lvl w:ilvl="0">
      <w:start w:val="1"/>
      <w:numFmt w:val="decimal"/>
      <w:lvlText w:val="%1."/>
      <w:lvlJc w:val="left"/>
      <w:pPr>
        <w:tabs>
          <w:tab w:val="num" w:pos="340"/>
        </w:tabs>
        <w:ind w:left="340" w:hanging="340"/>
      </w:pPr>
      <w:rPr>
        <w:rFonts w:hint="default"/>
      </w:rPr>
    </w:lvl>
    <w:lvl w:ilvl="1">
      <w:start w:val="1"/>
      <w:numFmt w:val="decimal"/>
      <w:lvlText w:val="%2.%1"/>
      <w:lvlJc w:val="left"/>
      <w:pPr>
        <w:tabs>
          <w:tab w:val="num" w:pos="794"/>
        </w:tabs>
        <w:ind w:left="1134" w:hanging="794"/>
      </w:pPr>
      <w:rPr>
        <w:rFonts w:hint="default"/>
      </w:rPr>
    </w:lvl>
    <w:lvl w:ilvl="2">
      <w:start w:val="1"/>
      <w:numFmt w:val="decimal"/>
      <w:lvlText w:val="%1.%3.%2"/>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03653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4D4B6A30"/>
    <w:multiLevelType w:val="multilevel"/>
    <w:tmpl w:val="28908C72"/>
    <w:lvl w:ilvl="0">
      <w:start w:val="1"/>
      <w:numFmt w:val="decimal"/>
      <w:pStyle w:val="Normal"/>
      <w:lvlText w:val=""/>
      <w:lvlJc w:val="left"/>
      <w:pPr>
        <w:tabs>
          <w:tab w:val="num" w:pos="0"/>
        </w:tabs>
        <w:ind w:left="0" w:firstLine="0"/>
      </w:pPr>
    </w:lvl>
    <w:lvl w:ilvl="1">
      <w:start w:val="1"/>
      <w:numFmt w:val="decimal"/>
      <w:pStyle w:val="ListNumbers"/>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5461438A"/>
    <w:multiLevelType w:val="multilevel"/>
    <w:tmpl w:val="01B86456"/>
    <w:lvl w:ilvl="0">
      <w:start w:val="1"/>
      <w:numFmt w:val="decimal"/>
      <w:pStyle w:val="Numberedpagesubheading"/>
      <w:lvlText w:val="%1."/>
      <w:lvlJc w:val="left"/>
      <w:pPr>
        <w:tabs>
          <w:tab w:val="num" w:pos="360"/>
        </w:tabs>
        <w:ind w:left="360" w:hanging="360"/>
      </w:pPr>
    </w:lvl>
    <w:lvl w:ilvl="1">
      <w:start w:val="1"/>
      <w:numFmt w:val="decimal"/>
      <w:pStyle w:val="Listnumbersleveltwo"/>
      <w:lvlText w:val="%1.%2."/>
      <w:lvlJc w:val="left"/>
      <w:pPr>
        <w:tabs>
          <w:tab w:val="num" w:pos="792"/>
        </w:tabs>
        <w:ind w:left="792" w:hanging="432"/>
      </w:pPr>
    </w:lvl>
    <w:lvl w:ilvl="2">
      <w:start w:val="1"/>
      <w:numFmt w:val="decimal"/>
      <w:pStyle w:val="Listnumberslevelthree"/>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4B0366E"/>
    <w:multiLevelType w:val="multilevel"/>
    <w:tmpl w:val="55F02B20"/>
    <w:name w:val="Bullets"/>
    <w:lvl w:ilvl="0">
      <w:start w:val="1"/>
      <w:numFmt w:val="bullet"/>
      <w:lvlText w:val=""/>
      <w:lvlJc w:val="left"/>
      <w:pPr>
        <w:tabs>
          <w:tab w:val="num" w:pos="567"/>
        </w:tabs>
        <w:ind w:left="567" w:hanging="567"/>
      </w:pPr>
      <w:rPr>
        <w:rFonts w:ascii="Wingdings" w:hAnsi="Wingdings" w:hint="default"/>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567"/>
        </w:tabs>
        <w:ind w:left="1701" w:hanging="567"/>
      </w:pPr>
      <w:rPr>
        <w:rFonts w:ascii="Wingdings 3" w:hAnsi="Wingdings 3" w:hint="default"/>
      </w:rPr>
    </w:lvl>
    <w:lvl w:ilvl="3">
      <w:start w:val="1"/>
      <w:numFmt w:val="bullet"/>
      <w:lvlText w:val=""/>
      <w:lvlJc w:val="left"/>
      <w:pPr>
        <w:tabs>
          <w:tab w:val="num" w:pos="567"/>
        </w:tabs>
        <w:ind w:left="2268" w:hanging="567"/>
      </w:pPr>
      <w:rPr>
        <w:rFonts w:ascii="Wingdings" w:hAnsi="Wingdings" w:hint="default"/>
      </w:rPr>
    </w:lvl>
    <w:lvl w:ilvl="4">
      <w:start w:val="1"/>
      <w:numFmt w:val="bullet"/>
      <w:lvlText w:val=""/>
      <w:lvlJc w:val="left"/>
      <w:pPr>
        <w:tabs>
          <w:tab w:val="num" w:pos="567"/>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58667803"/>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2534761"/>
    <w:multiLevelType w:val="multilevel"/>
    <w:tmpl w:val="CB003EBE"/>
    <w:lvl w:ilvl="0">
      <w:start w:val="1"/>
      <w:numFmt w:val="bullet"/>
      <w:pStyle w:val="ListBullet"/>
      <w:lvlText w:val=""/>
      <w:lvlJc w:val="left"/>
      <w:pPr>
        <w:tabs>
          <w:tab w:val="num" w:pos="567"/>
        </w:tabs>
        <w:ind w:left="567" w:hanging="567"/>
      </w:pPr>
      <w:rPr>
        <w:rFonts w:ascii="Wingdings" w:hAnsi="Wingdings" w:hint="default"/>
      </w:rPr>
    </w:lvl>
    <w:lvl w:ilvl="1">
      <w:start w:val="1"/>
      <w:numFmt w:val="bullet"/>
      <w:pStyle w:val="ListBullet2"/>
      <w:lvlText w:val=""/>
      <w:lvlJc w:val="left"/>
      <w:pPr>
        <w:tabs>
          <w:tab w:val="num" w:pos="1134"/>
        </w:tabs>
        <w:ind w:left="1134" w:hanging="567"/>
      </w:pPr>
      <w:rPr>
        <w:rFonts w:ascii="Wingdings" w:hAnsi="Wingdings" w:hint="default"/>
      </w:rPr>
    </w:lvl>
    <w:lvl w:ilvl="2">
      <w:start w:val="1"/>
      <w:numFmt w:val="bullet"/>
      <w:pStyle w:val="ListBullet3"/>
      <w:lvlText w:val=""/>
      <w:lvlJc w:val="left"/>
      <w:pPr>
        <w:tabs>
          <w:tab w:val="num" w:pos="1701"/>
        </w:tabs>
        <w:ind w:left="1701" w:hanging="567"/>
      </w:pPr>
      <w:rPr>
        <w:rFonts w:ascii="Wingdings" w:hAnsi="Wingdings" w:hint="default"/>
      </w:rPr>
    </w:lvl>
    <w:lvl w:ilvl="3">
      <w:start w:val="1"/>
      <w:numFmt w:val="bullet"/>
      <w:pStyle w:val="ListBullet4"/>
      <w:lvlText w:val=""/>
      <w:lvlJc w:val="left"/>
      <w:pPr>
        <w:tabs>
          <w:tab w:val="num" w:pos="2268"/>
        </w:tabs>
        <w:ind w:left="2268" w:hanging="567"/>
      </w:pPr>
      <w:rPr>
        <w:rFonts w:ascii="Wingdings 3" w:hAnsi="Wingdings 3" w:hint="default"/>
      </w:rPr>
    </w:lvl>
    <w:lvl w:ilvl="4">
      <w:start w:val="1"/>
      <w:numFmt w:val="bullet"/>
      <w:pStyle w:val="ListBullet5"/>
      <w:lvlText w:val=""/>
      <w:lvlJc w:val="left"/>
      <w:pPr>
        <w:tabs>
          <w:tab w:val="num" w:pos="2835"/>
        </w:tabs>
        <w:ind w:left="2835" w:hanging="567"/>
      </w:pPr>
      <w:rPr>
        <w:rFonts w:ascii="Wingdings 3" w:hAnsi="Wingdings 3"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67419D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465781013">
    <w:abstractNumId w:val="8"/>
  </w:num>
  <w:num w:numId="2" w16cid:durableId="2044282039">
    <w:abstractNumId w:val="4"/>
  </w:num>
  <w:num w:numId="3" w16cid:durableId="1851021228">
    <w:abstractNumId w:val="16"/>
  </w:num>
  <w:num w:numId="4" w16cid:durableId="192574861">
    <w:abstractNumId w:val="3"/>
  </w:num>
  <w:num w:numId="5" w16cid:durableId="1367022468">
    <w:abstractNumId w:val="2"/>
  </w:num>
  <w:num w:numId="6" w16cid:durableId="1232428604">
    <w:abstractNumId w:val="1"/>
  </w:num>
  <w:num w:numId="7" w16cid:durableId="1894350025">
    <w:abstractNumId w:val="0"/>
  </w:num>
  <w:num w:numId="8" w16cid:durableId="1959339830">
    <w:abstractNumId w:val="7"/>
  </w:num>
  <w:num w:numId="9" w16cid:durableId="1934623465">
    <w:abstractNumId w:val="11"/>
  </w:num>
  <w:num w:numId="10" w16cid:durableId="992485882">
    <w:abstractNumId w:val="17"/>
  </w:num>
  <w:num w:numId="11" w16cid:durableId="1281574676">
    <w:abstractNumId w:val="12"/>
  </w:num>
  <w:num w:numId="12" w16cid:durableId="209196784">
    <w:abstractNumId w:val="10"/>
  </w:num>
  <w:num w:numId="13" w16cid:durableId="1761027827">
    <w:abstractNumId w:val="6"/>
  </w:num>
  <w:num w:numId="14" w16cid:durableId="694112066">
    <w:abstractNumId w:val="13"/>
  </w:num>
  <w:num w:numId="15" w16cid:durableId="777993483">
    <w:abstractNumId w:val="9"/>
  </w:num>
  <w:num w:numId="16" w16cid:durableId="152679318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DE"/>
    <w:rsid w:val="00000C6C"/>
    <w:rsid w:val="000014D8"/>
    <w:rsid w:val="000040A2"/>
    <w:rsid w:val="000052B9"/>
    <w:rsid w:val="000061E1"/>
    <w:rsid w:val="0000738B"/>
    <w:rsid w:val="00007594"/>
    <w:rsid w:val="000117DE"/>
    <w:rsid w:val="00014BF5"/>
    <w:rsid w:val="00015D90"/>
    <w:rsid w:val="00015DBB"/>
    <w:rsid w:val="00020D52"/>
    <w:rsid w:val="00022946"/>
    <w:rsid w:val="00023AB0"/>
    <w:rsid w:val="000245F3"/>
    <w:rsid w:val="0002581C"/>
    <w:rsid w:val="00025EC4"/>
    <w:rsid w:val="00027D06"/>
    <w:rsid w:val="00027E54"/>
    <w:rsid w:val="0003089A"/>
    <w:rsid w:val="00032965"/>
    <w:rsid w:val="000333A8"/>
    <w:rsid w:val="000346D4"/>
    <w:rsid w:val="00045C13"/>
    <w:rsid w:val="00046317"/>
    <w:rsid w:val="0005314D"/>
    <w:rsid w:val="00053167"/>
    <w:rsid w:val="00053BC0"/>
    <w:rsid w:val="000542B2"/>
    <w:rsid w:val="0005515E"/>
    <w:rsid w:val="000567DC"/>
    <w:rsid w:val="000652B8"/>
    <w:rsid w:val="00065336"/>
    <w:rsid w:val="00070512"/>
    <w:rsid w:val="00070D3E"/>
    <w:rsid w:val="000710B3"/>
    <w:rsid w:val="000711A9"/>
    <w:rsid w:val="0007181E"/>
    <w:rsid w:val="0007352A"/>
    <w:rsid w:val="00074678"/>
    <w:rsid w:val="000765C3"/>
    <w:rsid w:val="00080F2A"/>
    <w:rsid w:val="00084B4A"/>
    <w:rsid w:val="00085834"/>
    <w:rsid w:val="00085C9B"/>
    <w:rsid w:val="00086F58"/>
    <w:rsid w:val="00090E80"/>
    <w:rsid w:val="000934DD"/>
    <w:rsid w:val="0009509E"/>
    <w:rsid w:val="00095DA5"/>
    <w:rsid w:val="000967C0"/>
    <w:rsid w:val="0009722A"/>
    <w:rsid w:val="00097848"/>
    <w:rsid w:val="000A0178"/>
    <w:rsid w:val="000A03B2"/>
    <w:rsid w:val="000A19B9"/>
    <w:rsid w:val="000A20F6"/>
    <w:rsid w:val="000A3778"/>
    <w:rsid w:val="000A4F0B"/>
    <w:rsid w:val="000A5F8F"/>
    <w:rsid w:val="000A68E9"/>
    <w:rsid w:val="000B07CD"/>
    <w:rsid w:val="000B165D"/>
    <w:rsid w:val="000B173F"/>
    <w:rsid w:val="000B557F"/>
    <w:rsid w:val="000B5991"/>
    <w:rsid w:val="000B6124"/>
    <w:rsid w:val="000B721C"/>
    <w:rsid w:val="000C1211"/>
    <w:rsid w:val="000C16C0"/>
    <w:rsid w:val="000C227B"/>
    <w:rsid w:val="000C25B8"/>
    <w:rsid w:val="000C3449"/>
    <w:rsid w:val="000C3B21"/>
    <w:rsid w:val="000C55E8"/>
    <w:rsid w:val="000C67EE"/>
    <w:rsid w:val="000C6B9C"/>
    <w:rsid w:val="000C6D5E"/>
    <w:rsid w:val="000C6F79"/>
    <w:rsid w:val="000C7118"/>
    <w:rsid w:val="000D0914"/>
    <w:rsid w:val="000D4D0B"/>
    <w:rsid w:val="000D6A1B"/>
    <w:rsid w:val="000D707F"/>
    <w:rsid w:val="000E01DE"/>
    <w:rsid w:val="000E0899"/>
    <w:rsid w:val="000E1555"/>
    <w:rsid w:val="000E44D1"/>
    <w:rsid w:val="000E611F"/>
    <w:rsid w:val="000E7E52"/>
    <w:rsid w:val="000F05D4"/>
    <w:rsid w:val="000F07FC"/>
    <w:rsid w:val="000F19DA"/>
    <w:rsid w:val="000F2EE4"/>
    <w:rsid w:val="000F5BDA"/>
    <w:rsid w:val="001007C9"/>
    <w:rsid w:val="001009C1"/>
    <w:rsid w:val="00103F40"/>
    <w:rsid w:val="00104096"/>
    <w:rsid w:val="00104BAA"/>
    <w:rsid w:val="00104FF7"/>
    <w:rsid w:val="00105292"/>
    <w:rsid w:val="00110F84"/>
    <w:rsid w:val="00112A32"/>
    <w:rsid w:val="001147FB"/>
    <w:rsid w:val="001149ED"/>
    <w:rsid w:val="001150ED"/>
    <w:rsid w:val="001150F6"/>
    <w:rsid w:val="00115B77"/>
    <w:rsid w:val="001216DD"/>
    <w:rsid w:val="00122535"/>
    <w:rsid w:val="001225BD"/>
    <w:rsid w:val="0012342F"/>
    <w:rsid w:val="00123FD7"/>
    <w:rsid w:val="00126C3B"/>
    <w:rsid w:val="00127840"/>
    <w:rsid w:val="00130EAB"/>
    <w:rsid w:val="00130FC7"/>
    <w:rsid w:val="0013111C"/>
    <w:rsid w:val="001329B3"/>
    <w:rsid w:val="00134BAC"/>
    <w:rsid w:val="001350F4"/>
    <w:rsid w:val="0013563C"/>
    <w:rsid w:val="00135D88"/>
    <w:rsid w:val="00135FCA"/>
    <w:rsid w:val="001365F7"/>
    <w:rsid w:val="00136E8C"/>
    <w:rsid w:val="00141021"/>
    <w:rsid w:val="00146E2A"/>
    <w:rsid w:val="00147491"/>
    <w:rsid w:val="00151CED"/>
    <w:rsid w:val="0015296A"/>
    <w:rsid w:val="001536AA"/>
    <w:rsid w:val="00160870"/>
    <w:rsid w:val="00164152"/>
    <w:rsid w:val="00167717"/>
    <w:rsid w:val="00170979"/>
    <w:rsid w:val="0018020E"/>
    <w:rsid w:val="00181152"/>
    <w:rsid w:val="0018177C"/>
    <w:rsid w:val="00181DAC"/>
    <w:rsid w:val="00181F0C"/>
    <w:rsid w:val="00182BA9"/>
    <w:rsid w:val="00182BE2"/>
    <w:rsid w:val="00182ED8"/>
    <w:rsid w:val="00182F0E"/>
    <w:rsid w:val="001859A4"/>
    <w:rsid w:val="001859BA"/>
    <w:rsid w:val="00195D6A"/>
    <w:rsid w:val="001A0A67"/>
    <w:rsid w:val="001A221D"/>
    <w:rsid w:val="001A64F6"/>
    <w:rsid w:val="001A6552"/>
    <w:rsid w:val="001B04D5"/>
    <w:rsid w:val="001B0673"/>
    <w:rsid w:val="001B19FA"/>
    <w:rsid w:val="001B36DB"/>
    <w:rsid w:val="001B5A21"/>
    <w:rsid w:val="001B5EB2"/>
    <w:rsid w:val="001B6EC0"/>
    <w:rsid w:val="001B6F07"/>
    <w:rsid w:val="001C196D"/>
    <w:rsid w:val="001C2ACC"/>
    <w:rsid w:val="001C2F75"/>
    <w:rsid w:val="001C50EA"/>
    <w:rsid w:val="001C5715"/>
    <w:rsid w:val="001C5E44"/>
    <w:rsid w:val="001C623C"/>
    <w:rsid w:val="001C7EEE"/>
    <w:rsid w:val="001D05B6"/>
    <w:rsid w:val="001D0FDC"/>
    <w:rsid w:val="001D2C46"/>
    <w:rsid w:val="001D3494"/>
    <w:rsid w:val="001D3A6B"/>
    <w:rsid w:val="001D3F8D"/>
    <w:rsid w:val="001D5845"/>
    <w:rsid w:val="001D6021"/>
    <w:rsid w:val="001E0A24"/>
    <w:rsid w:val="001E5A65"/>
    <w:rsid w:val="001E5C12"/>
    <w:rsid w:val="001E7C3E"/>
    <w:rsid w:val="001E7FD6"/>
    <w:rsid w:val="001F1DC3"/>
    <w:rsid w:val="001F2672"/>
    <w:rsid w:val="001F3585"/>
    <w:rsid w:val="001F3860"/>
    <w:rsid w:val="001F3977"/>
    <w:rsid w:val="00200C52"/>
    <w:rsid w:val="00202057"/>
    <w:rsid w:val="00211467"/>
    <w:rsid w:val="00217379"/>
    <w:rsid w:val="002241D6"/>
    <w:rsid w:val="00226AB8"/>
    <w:rsid w:val="002311B3"/>
    <w:rsid w:val="00231917"/>
    <w:rsid w:val="00233825"/>
    <w:rsid w:val="00233C04"/>
    <w:rsid w:val="002365C3"/>
    <w:rsid w:val="00236627"/>
    <w:rsid w:val="00236EE7"/>
    <w:rsid w:val="00240D46"/>
    <w:rsid w:val="00241EB9"/>
    <w:rsid w:val="00243F43"/>
    <w:rsid w:val="00244772"/>
    <w:rsid w:val="00245055"/>
    <w:rsid w:val="00247912"/>
    <w:rsid w:val="00253662"/>
    <w:rsid w:val="00254AEB"/>
    <w:rsid w:val="00257852"/>
    <w:rsid w:val="00260858"/>
    <w:rsid w:val="002645E9"/>
    <w:rsid w:val="0026537D"/>
    <w:rsid w:val="00265467"/>
    <w:rsid w:val="0026564F"/>
    <w:rsid w:val="00267087"/>
    <w:rsid w:val="002718E7"/>
    <w:rsid w:val="002727E2"/>
    <w:rsid w:val="00273736"/>
    <w:rsid w:val="00275A09"/>
    <w:rsid w:val="00275E3B"/>
    <w:rsid w:val="00277A0A"/>
    <w:rsid w:val="002817CA"/>
    <w:rsid w:val="002821DC"/>
    <w:rsid w:val="0028291A"/>
    <w:rsid w:val="00282D1F"/>
    <w:rsid w:val="00286F22"/>
    <w:rsid w:val="0029108A"/>
    <w:rsid w:val="002951A8"/>
    <w:rsid w:val="00295658"/>
    <w:rsid w:val="00295A87"/>
    <w:rsid w:val="002A33CE"/>
    <w:rsid w:val="002A352A"/>
    <w:rsid w:val="002A5561"/>
    <w:rsid w:val="002A5D45"/>
    <w:rsid w:val="002A62A8"/>
    <w:rsid w:val="002B0795"/>
    <w:rsid w:val="002B48A1"/>
    <w:rsid w:val="002B5C83"/>
    <w:rsid w:val="002B6EDA"/>
    <w:rsid w:val="002C0F07"/>
    <w:rsid w:val="002C0FD2"/>
    <w:rsid w:val="002C1025"/>
    <w:rsid w:val="002C1211"/>
    <w:rsid w:val="002C1638"/>
    <w:rsid w:val="002C2CF8"/>
    <w:rsid w:val="002C4B6E"/>
    <w:rsid w:val="002C6EED"/>
    <w:rsid w:val="002D089D"/>
    <w:rsid w:val="002D2D04"/>
    <w:rsid w:val="002D3112"/>
    <w:rsid w:val="002D4051"/>
    <w:rsid w:val="002D5050"/>
    <w:rsid w:val="002D516A"/>
    <w:rsid w:val="002D568D"/>
    <w:rsid w:val="002D5D80"/>
    <w:rsid w:val="002E0BA5"/>
    <w:rsid w:val="002E150E"/>
    <w:rsid w:val="002E3ADF"/>
    <w:rsid w:val="002E4463"/>
    <w:rsid w:val="002E6DA4"/>
    <w:rsid w:val="002E72A2"/>
    <w:rsid w:val="002F053C"/>
    <w:rsid w:val="002F1042"/>
    <w:rsid w:val="002F5804"/>
    <w:rsid w:val="002F5DB4"/>
    <w:rsid w:val="002F6D3C"/>
    <w:rsid w:val="0030297C"/>
    <w:rsid w:val="0030336D"/>
    <w:rsid w:val="0030524D"/>
    <w:rsid w:val="003060C9"/>
    <w:rsid w:val="00306DD8"/>
    <w:rsid w:val="00310D1B"/>
    <w:rsid w:val="00311875"/>
    <w:rsid w:val="00312708"/>
    <w:rsid w:val="0031356B"/>
    <w:rsid w:val="00314F6C"/>
    <w:rsid w:val="00315D64"/>
    <w:rsid w:val="00322494"/>
    <w:rsid w:val="00323305"/>
    <w:rsid w:val="00324323"/>
    <w:rsid w:val="00324E86"/>
    <w:rsid w:val="00325C62"/>
    <w:rsid w:val="0032625F"/>
    <w:rsid w:val="00327F31"/>
    <w:rsid w:val="0033029C"/>
    <w:rsid w:val="00333540"/>
    <w:rsid w:val="00333DB6"/>
    <w:rsid w:val="003351F8"/>
    <w:rsid w:val="0033653E"/>
    <w:rsid w:val="0033655E"/>
    <w:rsid w:val="00340C47"/>
    <w:rsid w:val="00341ADF"/>
    <w:rsid w:val="00341EB2"/>
    <w:rsid w:val="0034318D"/>
    <w:rsid w:val="0034389F"/>
    <w:rsid w:val="003442BB"/>
    <w:rsid w:val="00345786"/>
    <w:rsid w:val="003460FF"/>
    <w:rsid w:val="0034697C"/>
    <w:rsid w:val="00346D44"/>
    <w:rsid w:val="00346D85"/>
    <w:rsid w:val="003474CA"/>
    <w:rsid w:val="003504A8"/>
    <w:rsid w:val="00350F94"/>
    <w:rsid w:val="00351F22"/>
    <w:rsid w:val="003541B5"/>
    <w:rsid w:val="0035438E"/>
    <w:rsid w:val="00354C40"/>
    <w:rsid w:val="00354E70"/>
    <w:rsid w:val="003554D6"/>
    <w:rsid w:val="00357339"/>
    <w:rsid w:val="003573D3"/>
    <w:rsid w:val="003604D0"/>
    <w:rsid w:val="00360F47"/>
    <w:rsid w:val="0036324D"/>
    <w:rsid w:val="00365006"/>
    <w:rsid w:val="003655D9"/>
    <w:rsid w:val="00365639"/>
    <w:rsid w:val="00365E39"/>
    <w:rsid w:val="0036626B"/>
    <w:rsid w:val="003731B2"/>
    <w:rsid w:val="00373847"/>
    <w:rsid w:val="003753C7"/>
    <w:rsid w:val="00375547"/>
    <w:rsid w:val="0037663D"/>
    <w:rsid w:val="00380ED7"/>
    <w:rsid w:val="00381992"/>
    <w:rsid w:val="00383B80"/>
    <w:rsid w:val="00383EC7"/>
    <w:rsid w:val="00384053"/>
    <w:rsid w:val="00390AAD"/>
    <w:rsid w:val="003927F2"/>
    <w:rsid w:val="00392E35"/>
    <w:rsid w:val="00393522"/>
    <w:rsid w:val="003959CE"/>
    <w:rsid w:val="00396458"/>
    <w:rsid w:val="003A2DBF"/>
    <w:rsid w:val="003A54B6"/>
    <w:rsid w:val="003B0AA1"/>
    <w:rsid w:val="003B1611"/>
    <w:rsid w:val="003B167D"/>
    <w:rsid w:val="003B23E4"/>
    <w:rsid w:val="003B3910"/>
    <w:rsid w:val="003B4344"/>
    <w:rsid w:val="003B4A37"/>
    <w:rsid w:val="003B59E5"/>
    <w:rsid w:val="003B5E4B"/>
    <w:rsid w:val="003B6098"/>
    <w:rsid w:val="003B667E"/>
    <w:rsid w:val="003B751A"/>
    <w:rsid w:val="003B7A7F"/>
    <w:rsid w:val="003C6451"/>
    <w:rsid w:val="003C6978"/>
    <w:rsid w:val="003D0CB4"/>
    <w:rsid w:val="003D15A8"/>
    <w:rsid w:val="003D27D1"/>
    <w:rsid w:val="003D47DD"/>
    <w:rsid w:val="003D4BB7"/>
    <w:rsid w:val="003D68A6"/>
    <w:rsid w:val="003E0CBD"/>
    <w:rsid w:val="003E0FD5"/>
    <w:rsid w:val="003E157A"/>
    <w:rsid w:val="003E1F6B"/>
    <w:rsid w:val="003E5167"/>
    <w:rsid w:val="003E5537"/>
    <w:rsid w:val="003E5C07"/>
    <w:rsid w:val="003E71B4"/>
    <w:rsid w:val="003F0025"/>
    <w:rsid w:val="003F0240"/>
    <w:rsid w:val="003F08CB"/>
    <w:rsid w:val="003F160A"/>
    <w:rsid w:val="003F2B7B"/>
    <w:rsid w:val="003F3006"/>
    <w:rsid w:val="003F312F"/>
    <w:rsid w:val="003F4C93"/>
    <w:rsid w:val="003F680B"/>
    <w:rsid w:val="003F7724"/>
    <w:rsid w:val="004066C5"/>
    <w:rsid w:val="004117A3"/>
    <w:rsid w:val="00413BCB"/>
    <w:rsid w:val="00413E7A"/>
    <w:rsid w:val="004145A6"/>
    <w:rsid w:val="00414CB9"/>
    <w:rsid w:val="0041667A"/>
    <w:rsid w:val="0041693F"/>
    <w:rsid w:val="00417340"/>
    <w:rsid w:val="00417933"/>
    <w:rsid w:val="00417CF7"/>
    <w:rsid w:val="00417EB5"/>
    <w:rsid w:val="004238BE"/>
    <w:rsid w:val="00426A2A"/>
    <w:rsid w:val="00432100"/>
    <w:rsid w:val="004327E6"/>
    <w:rsid w:val="004349A5"/>
    <w:rsid w:val="00436C77"/>
    <w:rsid w:val="00437C73"/>
    <w:rsid w:val="004400CC"/>
    <w:rsid w:val="0044201A"/>
    <w:rsid w:val="00442167"/>
    <w:rsid w:val="00442C96"/>
    <w:rsid w:val="0044517B"/>
    <w:rsid w:val="00447262"/>
    <w:rsid w:val="00447AC4"/>
    <w:rsid w:val="004558DA"/>
    <w:rsid w:val="00455915"/>
    <w:rsid w:val="00455A33"/>
    <w:rsid w:val="004568BC"/>
    <w:rsid w:val="00457783"/>
    <w:rsid w:val="00463306"/>
    <w:rsid w:val="0046374B"/>
    <w:rsid w:val="00463E6F"/>
    <w:rsid w:val="00464568"/>
    <w:rsid w:val="00467C85"/>
    <w:rsid w:val="0047099F"/>
    <w:rsid w:val="004712F2"/>
    <w:rsid w:val="004722B4"/>
    <w:rsid w:val="00475742"/>
    <w:rsid w:val="00475DBC"/>
    <w:rsid w:val="00476950"/>
    <w:rsid w:val="00477399"/>
    <w:rsid w:val="00480B4E"/>
    <w:rsid w:val="00482FD2"/>
    <w:rsid w:val="00483313"/>
    <w:rsid w:val="00487882"/>
    <w:rsid w:val="00491C50"/>
    <w:rsid w:val="004936F2"/>
    <w:rsid w:val="004937DC"/>
    <w:rsid w:val="00493AAC"/>
    <w:rsid w:val="00494A2F"/>
    <w:rsid w:val="0049603A"/>
    <w:rsid w:val="00497BD6"/>
    <w:rsid w:val="004A04F5"/>
    <w:rsid w:val="004A1E17"/>
    <w:rsid w:val="004A34C3"/>
    <w:rsid w:val="004A76A0"/>
    <w:rsid w:val="004B1B4C"/>
    <w:rsid w:val="004B26FF"/>
    <w:rsid w:val="004B2831"/>
    <w:rsid w:val="004B2FD8"/>
    <w:rsid w:val="004B31E9"/>
    <w:rsid w:val="004B3F22"/>
    <w:rsid w:val="004B3F4B"/>
    <w:rsid w:val="004B6236"/>
    <w:rsid w:val="004C2ED4"/>
    <w:rsid w:val="004D1B7D"/>
    <w:rsid w:val="004D33B3"/>
    <w:rsid w:val="004E2DF0"/>
    <w:rsid w:val="004E550C"/>
    <w:rsid w:val="004F1BB1"/>
    <w:rsid w:val="004F30B5"/>
    <w:rsid w:val="004F5F1F"/>
    <w:rsid w:val="004F61B3"/>
    <w:rsid w:val="004F740E"/>
    <w:rsid w:val="0050200F"/>
    <w:rsid w:val="00502E65"/>
    <w:rsid w:val="00503715"/>
    <w:rsid w:val="005067D0"/>
    <w:rsid w:val="0051250B"/>
    <w:rsid w:val="00512798"/>
    <w:rsid w:val="00512C14"/>
    <w:rsid w:val="0051471E"/>
    <w:rsid w:val="0052020F"/>
    <w:rsid w:val="00520830"/>
    <w:rsid w:val="0052093F"/>
    <w:rsid w:val="00521D93"/>
    <w:rsid w:val="00522E32"/>
    <w:rsid w:val="00523B8D"/>
    <w:rsid w:val="00525A1F"/>
    <w:rsid w:val="00527466"/>
    <w:rsid w:val="005276CD"/>
    <w:rsid w:val="00527C57"/>
    <w:rsid w:val="0053010D"/>
    <w:rsid w:val="00530400"/>
    <w:rsid w:val="00532684"/>
    <w:rsid w:val="005333D1"/>
    <w:rsid w:val="00533482"/>
    <w:rsid w:val="00543E68"/>
    <w:rsid w:val="00553514"/>
    <w:rsid w:val="0055490F"/>
    <w:rsid w:val="00554D25"/>
    <w:rsid w:val="005575F1"/>
    <w:rsid w:val="00562C6A"/>
    <w:rsid w:val="0056724D"/>
    <w:rsid w:val="0056790A"/>
    <w:rsid w:val="00570BD9"/>
    <w:rsid w:val="00571DC0"/>
    <w:rsid w:val="00575F0C"/>
    <w:rsid w:val="00580826"/>
    <w:rsid w:val="00581F5A"/>
    <w:rsid w:val="00582DF0"/>
    <w:rsid w:val="0058559A"/>
    <w:rsid w:val="00586002"/>
    <w:rsid w:val="005869FD"/>
    <w:rsid w:val="0059103F"/>
    <w:rsid w:val="0059104F"/>
    <w:rsid w:val="0059235C"/>
    <w:rsid w:val="00593773"/>
    <w:rsid w:val="005958D5"/>
    <w:rsid w:val="00597368"/>
    <w:rsid w:val="005974C4"/>
    <w:rsid w:val="005A03F6"/>
    <w:rsid w:val="005A12E4"/>
    <w:rsid w:val="005A4CDB"/>
    <w:rsid w:val="005B4179"/>
    <w:rsid w:val="005B4E5C"/>
    <w:rsid w:val="005B527E"/>
    <w:rsid w:val="005B7346"/>
    <w:rsid w:val="005B7E1C"/>
    <w:rsid w:val="005C072A"/>
    <w:rsid w:val="005C15D7"/>
    <w:rsid w:val="005C2739"/>
    <w:rsid w:val="005C4A9D"/>
    <w:rsid w:val="005C55A7"/>
    <w:rsid w:val="005C715C"/>
    <w:rsid w:val="005D10DF"/>
    <w:rsid w:val="005D2088"/>
    <w:rsid w:val="005D37DE"/>
    <w:rsid w:val="005D7B7D"/>
    <w:rsid w:val="005E0A20"/>
    <w:rsid w:val="005E0D31"/>
    <w:rsid w:val="005E2CFE"/>
    <w:rsid w:val="005E3D4A"/>
    <w:rsid w:val="005E42F4"/>
    <w:rsid w:val="005E4E25"/>
    <w:rsid w:val="005E6410"/>
    <w:rsid w:val="005E7195"/>
    <w:rsid w:val="005E7323"/>
    <w:rsid w:val="005F155C"/>
    <w:rsid w:val="005F1EB2"/>
    <w:rsid w:val="005F24DA"/>
    <w:rsid w:val="005F463E"/>
    <w:rsid w:val="005F69D3"/>
    <w:rsid w:val="005F750F"/>
    <w:rsid w:val="005F7672"/>
    <w:rsid w:val="00600913"/>
    <w:rsid w:val="00602841"/>
    <w:rsid w:val="006035E7"/>
    <w:rsid w:val="00605A70"/>
    <w:rsid w:val="00605BC8"/>
    <w:rsid w:val="006073EF"/>
    <w:rsid w:val="00612E35"/>
    <w:rsid w:val="006219A7"/>
    <w:rsid w:val="006226E4"/>
    <w:rsid w:val="006237CB"/>
    <w:rsid w:val="00623C8F"/>
    <w:rsid w:val="00625C19"/>
    <w:rsid w:val="00626AB3"/>
    <w:rsid w:val="00630A69"/>
    <w:rsid w:val="00630E70"/>
    <w:rsid w:val="00632452"/>
    <w:rsid w:val="006332C5"/>
    <w:rsid w:val="00634028"/>
    <w:rsid w:val="00634FEE"/>
    <w:rsid w:val="006356F0"/>
    <w:rsid w:val="00637D33"/>
    <w:rsid w:val="00640764"/>
    <w:rsid w:val="00641A76"/>
    <w:rsid w:val="00642633"/>
    <w:rsid w:val="00647FC3"/>
    <w:rsid w:val="00650474"/>
    <w:rsid w:val="00652BDD"/>
    <w:rsid w:val="0065354B"/>
    <w:rsid w:val="00654FB4"/>
    <w:rsid w:val="006559AC"/>
    <w:rsid w:val="00655D3D"/>
    <w:rsid w:val="006600B4"/>
    <w:rsid w:val="006613E7"/>
    <w:rsid w:val="00662CA5"/>
    <w:rsid w:val="00664F61"/>
    <w:rsid w:val="00665587"/>
    <w:rsid w:val="00670ABD"/>
    <w:rsid w:val="00670F5F"/>
    <w:rsid w:val="00672037"/>
    <w:rsid w:val="00672AFD"/>
    <w:rsid w:val="00673F44"/>
    <w:rsid w:val="00673F95"/>
    <w:rsid w:val="00674318"/>
    <w:rsid w:val="00674636"/>
    <w:rsid w:val="006751FB"/>
    <w:rsid w:val="006752EE"/>
    <w:rsid w:val="006757C8"/>
    <w:rsid w:val="006762C7"/>
    <w:rsid w:val="00676DC6"/>
    <w:rsid w:val="006773F5"/>
    <w:rsid w:val="006804A2"/>
    <w:rsid w:val="006847A5"/>
    <w:rsid w:val="0068545B"/>
    <w:rsid w:val="00685652"/>
    <w:rsid w:val="006856FF"/>
    <w:rsid w:val="00685904"/>
    <w:rsid w:val="0069255C"/>
    <w:rsid w:val="00695167"/>
    <w:rsid w:val="00696036"/>
    <w:rsid w:val="006969BC"/>
    <w:rsid w:val="00697127"/>
    <w:rsid w:val="00697B87"/>
    <w:rsid w:val="006A01BD"/>
    <w:rsid w:val="006A34B2"/>
    <w:rsid w:val="006A37D1"/>
    <w:rsid w:val="006A3F69"/>
    <w:rsid w:val="006A40E7"/>
    <w:rsid w:val="006A43C3"/>
    <w:rsid w:val="006A4938"/>
    <w:rsid w:val="006A4A6B"/>
    <w:rsid w:val="006A6617"/>
    <w:rsid w:val="006B1030"/>
    <w:rsid w:val="006B56E5"/>
    <w:rsid w:val="006B610F"/>
    <w:rsid w:val="006C1B4D"/>
    <w:rsid w:val="006C30E3"/>
    <w:rsid w:val="006C7119"/>
    <w:rsid w:val="006C76B9"/>
    <w:rsid w:val="006C7F63"/>
    <w:rsid w:val="006D17E4"/>
    <w:rsid w:val="006D25F5"/>
    <w:rsid w:val="006D364E"/>
    <w:rsid w:val="006D45D6"/>
    <w:rsid w:val="006D47C6"/>
    <w:rsid w:val="006D567D"/>
    <w:rsid w:val="006D5F6E"/>
    <w:rsid w:val="006D7DDB"/>
    <w:rsid w:val="006D7E82"/>
    <w:rsid w:val="006E0000"/>
    <w:rsid w:val="006E2A37"/>
    <w:rsid w:val="006E35F8"/>
    <w:rsid w:val="006E38B9"/>
    <w:rsid w:val="006E4250"/>
    <w:rsid w:val="006E4727"/>
    <w:rsid w:val="006E5595"/>
    <w:rsid w:val="006F03D5"/>
    <w:rsid w:val="006F36D1"/>
    <w:rsid w:val="006F37DF"/>
    <w:rsid w:val="006F427D"/>
    <w:rsid w:val="006F50BF"/>
    <w:rsid w:val="006F513A"/>
    <w:rsid w:val="006F5687"/>
    <w:rsid w:val="007027CC"/>
    <w:rsid w:val="0070283C"/>
    <w:rsid w:val="00706EF4"/>
    <w:rsid w:val="00711028"/>
    <w:rsid w:val="007112B4"/>
    <w:rsid w:val="0071178A"/>
    <w:rsid w:val="00712B31"/>
    <w:rsid w:val="00713B83"/>
    <w:rsid w:val="0071701A"/>
    <w:rsid w:val="00717BAE"/>
    <w:rsid w:val="00720856"/>
    <w:rsid w:val="007221B2"/>
    <w:rsid w:val="00723134"/>
    <w:rsid w:val="00724DBC"/>
    <w:rsid w:val="00730705"/>
    <w:rsid w:val="0073208E"/>
    <w:rsid w:val="0074020A"/>
    <w:rsid w:val="00744501"/>
    <w:rsid w:val="00744B36"/>
    <w:rsid w:val="0074765F"/>
    <w:rsid w:val="00747A98"/>
    <w:rsid w:val="007518EE"/>
    <w:rsid w:val="00752CD6"/>
    <w:rsid w:val="00760840"/>
    <w:rsid w:val="0076206B"/>
    <w:rsid w:val="00762609"/>
    <w:rsid w:val="00763094"/>
    <w:rsid w:val="00764C8F"/>
    <w:rsid w:val="00765775"/>
    <w:rsid w:val="007673B0"/>
    <w:rsid w:val="00767469"/>
    <w:rsid w:val="00770A16"/>
    <w:rsid w:val="00770C23"/>
    <w:rsid w:val="00772D06"/>
    <w:rsid w:val="00774126"/>
    <w:rsid w:val="007748A2"/>
    <w:rsid w:val="00776B31"/>
    <w:rsid w:val="007773AD"/>
    <w:rsid w:val="0078040C"/>
    <w:rsid w:val="00781483"/>
    <w:rsid w:val="00781538"/>
    <w:rsid w:val="00781B86"/>
    <w:rsid w:val="0078226A"/>
    <w:rsid w:val="00782AE0"/>
    <w:rsid w:val="00782B6D"/>
    <w:rsid w:val="00782DEE"/>
    <w:rsid w:val="0078524B"/>
    <w:rsid w:val="00790421"/>
    <w:rsid w:val="0079088B"/>
    <w:rsid w:val="00790D8E"/>
    <w:rsid w:val="00793203"/>
    <w:rsid w:val="00794496"/>
    <w:rsid w:val="00794CE7"/>
    <w:rsid w:val="00797CF6"/>
    <w:rsid w:val="007A009F"/>
    <w:rsid w:val="007A1191"/>
    <w:rsid w:val="007A31B5"/>
    <w:rsid w:val="007A51FA"/>
    <w:rsid w:val="007A5943"/>
    <w:rsid w:val="007A6744"/>
    <w:rsid w:val="007A7F3D"/>
    <w:rsid w:val="007B0623"/>
    <w:rsid w:val="007B0C49"/>
    <w:rsid w:val="007B1789"/>
    <w:rsid w:val="007B3242"/>
    <w:rsid w:val="007B3284"/>
    <w:rsid w:val="007B3D00"/>
    <w:rsid w:val="007B3FB9"/>
    <w:rsid w:val="007B422D"/>
    <w:rsid w:val="007B5216"/>
    <w:rsid w:val="007B6B6E"/>
    <w:rsid w:val="007C088F"/>
    <w:rsid w:val="007C0D50"/>
    <w:rsid w:val="007C3B3B"/>
    <w:rsid w:val="007D00DC"/>
    <w:rsid w:val="007D1322"/>
    <w:rsid w:val="007D3F84"/>
    <w:rsid w:val="007D620E"/>
    <w:rsid w:val="007D786D"/>
    <w:rsid w:val="007D7D25"/>
    <w:rsid w:val="007E024E"/>
    <w:rsid w:val="007E1AE0"/>
    <w:rsid w:val="007E3A3D"/>
    <w:rsid w:val="007E3CEA"/>
    <w:rsid w:val="007E4131"/>
    <w:rsid w:val="007E7252"/>
    <w:rsid w:val="007F0A4B"/>
    <w:rsid w:val="007F19EE"/>
    <w:rsid w:val="007F2C8A"/>
    <w:rsid w:val="007F3C21"/>
    <w:rsid w:val="007F3D56"/>
    <w:rsid w:val="008013B4"/>
    <w:rsid w:val="008023D3"/>
    <w:rsid w:val="0080339F"/>
    <w:rsid w:val="0080360E"/>
    <w:rsid w:val="00803DEB"/>
    <w:rsid w:val="0080419B"/>
    <w:rsid w:val="0080498D"/>
    <w:rsid w:val="00806129"/>
    <w:rsid w:val="00807226"/>
    <w:rsid w:val="00810CDC"/>
    <w:rsid w:val="00811D20"/>
    <w:rsid w:val="008126EA"/>
    <w:rsid w:val="00812B7B"/>
    <w:rsid w:val="008130AE"/>
    <w:rsid w:val="008148D5"/>
    <w:rsid w:val="008176C3"/>
    <w:rsid w:val="00820CBF"/>
    <w:rsid w:val="00821796"/>
    <w:rsid w:val="0082291E"/>
    <w:rsid w:val="008230FC"/>
    <w:rsid w:val="00825B66"/>
    <w:rsid w:val="00826003"/>
    <w:rsid w:val="008265E1"/>
    <w:rsid w:val="008266F9"/>
    <w:rsid w:val="00826914"/>
    <w:rsid w:val="0082697C"/>
    <w:rsid w:val="00827A84"/>
    <w:rsid w:val="0083110C"/>
    <w:rsid w:val="008315C2"/>
    <w:rsid w:val="00831A22"/>
    <w:rsid w:val="00833A2A"/>
    <w:rsid w:val="00834292"/>
    <w:rsid w:val="00834A1B"/>
    <w:rsid w:val="008378C2"/>
    <w:rsid w:val="008404AC"/>
    <w:rsid w:val="008418B3"/>
    <w:rsid w:val="008432A6"/>
    <w:rsid w:val="008432DE"/>
    <w:rsid w:val="0084367F"/>
    <w:rsid w:val="00844BE7"/>
    <w:rsid w:val="00846C21"/>
    <w:rsid w:val="008476EC"/>
    <w:rsid w:val="00850041"/>
    <w:rsid w:val="00851860"/>
    <w:rsid w:val="008527BE"/>
    <w:rsid w:val="00855331"/>
    <w:rsid w:val="0085562D"/>
    <w:rsid w:val="00855B41"/>
    <w:rsid w:val="00855BC5"/>
    <w:rsid w:val="00856070"/>
    <w:rsid w:val="0085622E"/>
    <w:rsid w:val="00856467"/>
    <w:rsid w:val="00856742"/>
    <w:rsid w:val="00857D86"/>
    <w:rsid w:val="00860631"/>
    <w:rsid w:val="00860A8B"/>
    <w:rsid w:val="0086195D"/>
    <w:rsid w:val="00865BE2"/>
    <w:rsid w:val="00867B81"/>
    <w:rsid w:val="008700BA"/>
    <w:rsid w:val="00870F27"/>
    <w:rsid w:val="0087266C"/>
    <w:rsid w:val="00872994"/>
    <w:rsid w:val="00874EEF"/>
    <w:rsid w:val="008777E5"/>
    <w:rsid w:val="00877D24"/>
    <w:rsid w:val="00880D94"/>
    <w:rsid w:val="00882087"/>
    <w:rsid w:val="00882E71"/>
    <w:rsid w:val="00883B5C"/>
    <w:rsid w:val="0088449C"/>
    <w:rsid w:val="008862A3"/>
    <w:rsid w:val="00887625"/>
    <w:rsid w:val="00890894"/>
    <w:rsid w:val="00892DF3"/>
    <w:rsid w:val="00894FEB"/>
    <w:rsid w:val="0089518B"/>
    <w:rsid w:val="00896793"/>
    <w:rsid w:val="00897952"/>
    <w:rsid w:val="008A24B0"/>
    <w:rsid w:val="008A24E4"/>
    <w:rsid w:val="008A2CD3"/>
    <w:rsid w:val="008A32A0"/>
    <w:rsid w:val="008A38B7"/>
    <w:rsid w:val="008A4324"/>
    <w:rsid w:val="008A61C8"/>
    <w:rsid w:val="008A6542"/>
    <w:rsid w:val="008A6ECE"/>
    <w:rsid w:val="008A7180"/>
    <w:rsid w:val="008A76EC"/>
    <w:rsid w:val="008B1C1A"/>
    <w:rsid w:val="008B3F2F"/>
    <w:rsid w:val="008B4D30"/>
    <w:rsid w:val="008C0E77"/>
    <w:rsid w:val="008C1CE0"/>
    <w:rsid w:val="008C28E0"/>
    <w:rsid w:val="008C4550"/>
    <w:rsid w:val="008C4CD4"/>
    <w:rsid w:val="008C72CB"/>
    <w:rsid w:val="008C745E"/>
    <w:rsid w:val="008C75AC"/>
    <w:rsid w:val="008C7B3D"/>
    <w:rsid w:val="008C7E04"/>
    <w:rsid w:val="008D0434"/>
    <w:rsid w:val="008D47AB"/>
    <w:rsid w:val="008D5002"/>
    <w:rsid w:val="008E0746"/>
    <w:rsid w:val="008E0D3B"/>
    <w:rsid w:val="008E25E6"/>
    <w:rsid w:val="008E2882"/>
    <w:rsid w:val="008E2BC5"/>
    <w:rsid w:val="008E3A49"/>
    <w:rsid w:val="008E40D3"/>
    <w:rsid w:val="008E45C7"/>
    <w:rsid w:val="008E5E48"/>
    <w:rsid w:val="008E6177"/>
    <w:rsid w:val="008E6AC0"/>
    <w:rsid w:val="008E767E"/>
    <w:rsid w:val="008F0176"/>
    <w:rsid w:val="008F0628"/>
    <w:rsid w:val="008F20ED"/>
    <w:rsid w:val="008F2EEF"/>
    <w:rsid w:val="008F3BAE"/>
    <w:rsid w:val="008F407F"/>
    <w:rsid w:val="009002D1"/>
    <w:rsid w:val="00900BB0"/>
    <w:rsid w:val="0090355B"/>
    <w:rsid w:val="00903C2B"/>
    <w:rsid w:val="0090607D"/>
    <w:rsid w:val="009069A9"/>
    <w:rsid w:val="00906B9D"/>
    <w:rsid w:val="00907316"/>
    <w:rsid w:val="0091025F"/>
    <w:rsid w:val="00910272"/>
    <w:rsid w:val="00912644"/>
    <w:rsid w:val="009128BC"/>
    <w:rsid w:val="0091323A"/>
    <w:rsid w:val="00914694"/>
    <w:rsid w:val="0092111A"/>
    <w:rsid w:val="00921826"/>
    <w:rsid w:val="00924373"/>
    <w:rsid w:val="00925263"/>
    <w:rsid w:val="00927054"/>
    <w:rsid w:val="00930BA5"/>
    <w:rsid w:val="00934C54"/>
    <w:rsid w:val="00937802"/>
    <w:rsid w:val="00940AD4"/>
    <w:rsid w:val="009438CD"/>
    <w:rsid w:val="00943CA6"/>
    <w:rsid w:val="009448B8"/>
    <w:rsid w:val="009466EC"/>
    <w:rsid w:val="00952212"/>
    <w:rsid w:val="00952DE4"/>
    <w:rsid w:val="00952E3C"/>
    <w:rsid w:val="00952FA8"/>
    <w:rsid w:val="009532AC"/>
    <w:rsid w:val="009546C2"/>
    <w:rsid w:val="00956A02"/>
    <w:rsid w:val="00961B7C"/>
    <w:rsid w:val="00962385"/>
    <w:rsid w:val="00967338"/>
    <w:rsid w:val="009673FF"/>
    <w:rsid w:val="00967E4C"/>
    <w:rsid w:val="00970CA0"/>
    <w:rsid w:val="00971C00"/>
    <w:rsid w:val="0097241E"/>
    <w:rsid w:val="00972AA1"/>
    <w:rsid w:val="00972BCA"/>
    <w:rsid w:val="0097791C"/>
    <w:rsid w:val="0098034C"/>
    <w:rsid w:val="00981B42"/>
    <w:rsid w:val="009821CB"/>
    <w:rsid w:val="00983F82"/>
    <w:rsid w:val="00985A72"/>
    <w:rsid w:val="00991237"/>
    <w:rsid w:val="009917EC"/>
    <w:rsid w:val="00994B75"/>
    <w:rsid w:val="009965FF"/>
    <w:rsid w:val="009972F9"/>
    <w:rsid w:val="009A06F6"/>
    <w:rsid w:val="009A0AB4"/>
    <w:rsid w:val="009A50FE"/>
    <w:rsid w:val="009A7542"/>
    <w:rsid w:val="009B09D1"/>
    <w:rsid w:val="009B1592"/>
    <w:rsid w:val="009B23EC"/>
    <w:rsid w:val="009B270F"/>
    <w:rsid w:val="009B2D66"/>
    <w:rsid w:val="009B3A15"/>
    <w:rsid w:val="009B5339"/>
    <w:rsid w:val="009B582F"/>
    <w:rsid w:val="009B5C25"/>
    <w:rsid w:val="009B61C7"/>
    <w:rsid w:val="009B78BE"/>
    <w:rsid w:val="009B7BF0"/>
    <w:rsid w:val="009C0A28"/>
    <w:rsid w:val="009C297E"/>
    <w:rsid w:val="009C6025"/>
    <w:rsid w:val="009D2DB7"/>
    <w:rsid w:val="009D43B8"/>
    <w:rsid w:val="009D7D9F"/>
    <w:rsid w:val="009E04FE"/>
    <w:rsid w:val="009E0591"/>
    <w:rsid w:val="009E294F"/>
    <w:rsid w:val="009E451E"/>
    <w:rsid w:val="009E5AD5"/>
    <w:rsid w:val="009E67FA"/>
    <w:rsid w:val="009F0981"/>
    <w:rsid w:val="009F23F8"/>
    <w:rsid w:val="009F3EF9"/>
    <w:rsid w:val="009F5B0F"/>
    <w:rsid w:val="009F7E24"/>
    <w:rsid w:val="00A01074"/>
    <w:rsid w:val="00A03169"/>
    <w:rsid w:val="00A03F04"/>
    <w:rsid w:val="00A043FC"/>
    <w:rsid w:val="00A05C6A"/>
    <w:rsid w:val="00A060D6"/>
    <w:rsid w:val="00A1176E"/>
    <w:rsid w:val="00A12781"/>
    <w:rsid w:val="00A130FE"/>
    <w:rsid w:val="00A14881"/>
    <w:rsid w:val="00A17793"/>
    <w:rsid w:val="00A24701"/>
    <w:rsid w:val="00A24E22"/>
    <w:rsid w:val="00A250C9"/>
    <w:rsid w:val="00A261E6"/>
    <w:rsid w:val="00A336F8"/>
    <w:rsid w:val="00A337C6"/>
    <w:rsid w:val="00A35170"/>
    <w:rsid w:val="00A35759"/>
    <w:rsid w:val="00A40708"/>
    <w:rsid w:val="00A4082F"/>
    <w:rsid w:val="00A42690"/>
    <w:rsid w:val="00A43C3A"/>
    <w:rsid w:val="00A44F52"/>
    <w:rsid w:val="00A44F63"/>
    <w:rsid w:val="00A45A89"/>
    <w:rsid w:val="00A46998"/>
    <w:rsid w:val="00A469F1"/>
    <w:rsid w:val="00A46E0B"/>
    <w:rsid w:val="00A472E6"/>
    <w:rsid w:val="00A50692"/>
    <w:rsid w:val="00A508E0"/>
    <w:rsid w:val="00A508EC"/>
    <w:rsid w:val="00A50C57"/>
    <w:rsid w:val="00A528FA"/>
    <w:rsid w:val="00A533B1"/>
    <w:rsid w:val="00A53760"/>
    <w:rsid w:val="00A539F3"/>
    <w:rsid w:val="00A53CAA"/>
    <w:rsid w:val="00A54905"/>
    <w:rsid w:val="00A56D29"/>
    <w:rsid w:val="00A56DC6"/>
    <w:rsid w:val="00A56E03"/>
    <w:rsid w:val="00A63C14"/>
    <w:rsid w:val="00A71063"/>
    <w:rsid w:val="00A73FEE"/>
    <w:rsid w:val="00A74BED"/>
    <w:rsid w:val="00A763E0"/>
    <w:rsid w:val="00A76549"/>
    <w:rsid w:val="00A8085B"/>
    <w:rsid w:val="00A80B4F"/>
    <w:rsid w:val="00A8110A"/>
    <w:rsid w:val="00A8197E"/>
    <w:rsid w:val="00A82F57"/>
    <w:rsid w:val="00A845E2"/>
    <w:rsid w:val="00A855ED"/>
    <w:rsid w:val="00A85933"/>
    <w:rsid w:val="00A85ECA"/>
    <w:rsid w:val="00A87502"/>
    <w:rsid w:val="00A90B25"/>
    <w:rsid w:val="00A9241D"/>
    <w:rsid w:val="00A93264"/>
    <w:rsid w:val="00A93400"/>
    <w:rsid w:val="00A93655"/>
    <w:rsid w:val="00AA1D9E"/>
    <w:rsid w:val="00AA4137"/>
    <w:rsid w:val="00AB23A5"/>
    <w:rsid w:val="00AB2CCE"/>
    <w:rsid w:val="00AB3136"/>
    <w:rsid w:val="00AB3B84"/>
    <w:rsid w:val="00AB3FF2"/>
    <w:rsid w:val="00AB54E4"/>
    <w:rsid w:val="00AB6914"/>
    <w:rsid w:val="00AB7023"/>
    <w:rsid w:val="00AC027E"/>
    <w:rsid w:val="00AC197B"/>
    <w:rsid w:val="00AC3A29"/>
    <w:rsid w:val="00AC45A1"/>
    <w:rsid w:val="00AC4C8F"/>
    <w:rsid w:val="00AC697C"/>
    <w:rsid w:val="00AD04DF"/>
    <w:rsid w:val="00AD20C1"/>
    <w:rsid w:val="00AD2DAC"/>
    <w:rsid w:val="00AD3C50"/>
    <w:rsid w:val="00AD3F49"/>
    <w:rsid w:val="00AD44FF"/>
    <w:rsid w:val="00AD5F0C"/>
    <w:rsid w:val="00AD6559"/>
    <w:rsid w:val="00AD6B62"/>
    <w:rsid w:val="00AD7372"/>
    <w:rsid w:val="00AD7650"/>
    <w:rsid w:val="00AD7B56"/>
    <w:rsid w:val="00AE164C"/>
    <w:rsid w:val="00AE2661"/>
    <w:rsid w:val="00AE473B"/>
    <w:rsid w:val="00AE4FEC"/>
    <w:rsid w:val="00AE5937"/>
    <w:rsid w:val="00AE61E6"/>
    <w:rsid w:val="00AE6C86"/>
    <w:rsid w:val="00AE7A2D"/>
    <w:rsid w:val="00AF0575"/>
    <w:rsid w:val="00AF14BB"/>
    <w:rsid w:val="00AF27DC"/>
    <w:rsid w:val="00AF3B34"/>
    <w:rsid w:val="00AF42E8"/>
    <w:rsid w:val="00AF4EBA"/>
    <w:rsid w:val="00B03985"/>
    <w:rsid w:val="00B069F6"/>
    <w:rsid w:val="00B078D0"/>
    <w:rsid w:val="00B10CA9"/>
    <w:rsid w:val="00B11790"/>
    <w:rsid w:val="00B1340F"/>
    <w:rsid w:val="00B136C7"/>
    <w:rsid w:val="00B13E8B"/>
    <w:rsid w:val="00B14E8F"/>
    <w:rsid w:val="00B1525B"/>
    <w:rsid w:val="00B1554B"/>
    <w:rsid w:val="00B17869"/>
    <w:rsid w:val="00B178D6"/>
    <w:rsid w:val="00B25AE2"/>
    <w:rsid w:val="00B2770E"/>
    <w:rsid w:val="00B2791A"/>
    <w:rsid w:val="00B30A78"/>
    <w:rsid w:val="00B3414E"/>
    <w:rsid w:val="00B347AD"/>
    <w:rsid w:val="00B36232"/>
    <w:rsid w:val="00B36EEE"/>
    <w:rsid w:val="00B37327"/>
    <w:rsid w:val="00B37A64"/>
    <w:rsid w:val="00B40B23"/>
    <w:rsid w:val="00B40BBA"/>
    <w:rsid w:val="00B418A2"/>
    <w:rsid w:val="00B4222D"/>
    <w:rsid w:val="00B42D42"/>
    <w:rsid w:val="00B458EE"/>
    <w:rsid w:val="00B45E5A"/>
    <w:rsid w:val="00B461EA"/>
    <w:rsid w:val="00B47467"/>
    <w:rsid w:val="00B478FA"/>
    <w:rsid w:val="00B53037"/>
    <w:rsid w:val="00B54A98"/>
    <w:rsid w:val="00B57365"/>
    <w:rsid w:val="00B6144A"/>
    <w:rsid w:val="00B61A74"/>
    <w:rsid w:val="00B638CD"/>
    <w:rsid w:val="00B63BC9"/>
    <w:rsid w:val="00B63E84"/>
    <w:rsid w:val="00B65494"/>
    <w:rsid w:val="00B65C4F"/>
    <w:rsid w:val="00B70C32"/>
    <w:rsid w:val="00B711B2"/>
    <w:rsid w:val="00B717A9"/>
    <w:rsid w:val="00B72CCA"/>
    <w:rsid w:val="00B73816"/>
    <w:rsid w:val="00B73E0E"/>
    <w:rsid w:val="00B748E4"/>
    <w:rsid w:val="00B7666D"/>
    <w:rsid w:val="00B76807"/>
    <w:rsid w:val="00B80159"/>
    <w:rsid w:val="00B80300"/>
    <w:rsid w:val="00B80C57"/>
    <w:rsid w:val="00B80E5B"/>
    <w:rsid w:val="00B8101A"/>
    <w:rsid w:val="00B81272"/>
    <w:rsid w:val="00B81CAE"/>
    <w:rsid w:val="00B81CCA"/>
    <w:rsid w:val="00B83776"/>
    <w:rsid w:val="00B858AE"/>
    <w:rsid w:val="00B86757"/>
    <w:rsid w:val="00B869E4"/>
    <w:rsid w:val="00B86F9B"/>
    <w:rsid w:val="00B877DF"/>
    <w:rsid w:val="00B900A7"/>
    <w:rsid w:val="00B951E8"/>
    <w:rsid w:val="00B96604"/>
    <w:rsid w:val="00B97C58"/>
    <w:rsid w:val="00B97FA1"/>
    <w:rsid w:val="00BA07D4"/>
    <w:rsid w:val="00BA0ABD"/>
    <w:rsid w:val="00BA11E8"/>
    <w:rsid w:val="00BA1D3D"/>
    <w:rsid w:val="00BA2854"/>
    <w:rsid w:val="00BA4CDC"/>
    <w:rsid w:val="00BA569D"/>
    <w:rsid w:val="00BA6399"/>
    <w:rsid w:val="00BA6EC3"/>
    <w:rsid w:val="00BA72CB"/>
    <w:rsid w:val="00BB2B07"/>
    <w:rsid w:val="00BB4BC9"/>
    <w:rsid w:val="00BB59E8"/>
    <w:rsid w:val="00BB5D41"/>
    <w:rsid w:val="00BB6B1A"/>
    <w:rsid w:val="00BC1B03"/>
    <w:rsid w:val="00BC1F49"/>
    <w:rsid w:val="00BC4194"/>
    <w:rsid w:val="00BC4986"/>
    <w:rsid w:val="00BC5F12"/>
    <w:rsid w:val="00BC6073"/>
    <w:rsid w:val="00BC6F0F"/>
    <w:rsid w:val="00BC7515"/>
    <w:rsid w:val="00BC75EE"/>
    <w:rsid w:val="00BC7BAA"/>
    <w:rsid w:val="00BD132E"/>
    <w:rsid w:val="00BD308F"/>
    <w:rsid w:val="00BE022F"/>
    <w:rsid w:val="00BE2359"/>
    <w:rsid w:val="00BE32D8"/>
    <w:rsid w:val="00BE43B9"/>
    <w:rsid w:val="00BE4C68"/>
    <w:rsid w:val="00BE764D"/>
    <w:rsid w:val="00BE7B2E"/>
    <w:rsid w:val="00BF1B00"/>
    <w:rsid w:val="00BF3CA2"/>
    <w:rsid w:val="00BF3E8B"/>
    <w:rsid w:val="00BF701C"/>
    <w:rsid w:val="00BF78E4"/>
    <w:rsid w:val="00C00215"/>
    <w:rsid w:val="00C005ED"/>
    <w:rsid w:val="00C012F7"/>
    <w:rsid w:val="00C013FB"/>
    <w:rsid w:val="00C02E39"/>
    <w:rsid w:val="00C035BF"/>
    <w:rsid w:val="00C0449A"/>
    <w:rsid w:val="00C04B4B"/>
    <w:rsid w:val="00C05E05"/>
    <w:rsid w:val="00C11F9A"/>
    <w:rsid w:val="00C12552"/>
    <w:rsid w:val="00C178E7"/>
    <w:rsid w:val="00C17DD3"/>
    <w:rsid w:val="00C17E14"/>
    <w:rsid w:val="00C20751"/>
    <w:rsid w:val="00C2193A"/>
    <w:rsid w:val="00C24178"/>
    <w:rsid w:val="00C24636"/>
    <w:rsid w:val="00C25487"/>
    <w:rsid w:val="00C25F84"/>
    <w:rsid w:val="00C274E6"/>
    <w:rsid w:val="00C27CCA"/>
    <w:rsid w:val="00C3113F"/>
    <w:rsid w:val="00C312B6"/>
    <w:rsid w:val="00C31A0C"/>
    <w:rsid w:val="00C351D1"/>
    <w:rsid w:val="00C3690C"/>
    <w:rsid w:val="00C4448B"/>
    <w:rsid w:val="00C47F42"/>
    <w:rsid w:val="00C51C03"/>
    <w:rsid w:val="00C548AA"/>
    <w:rsid w:val="00C627DF"/>
    <w:rsid w:val="00C62A05"/>
    <w:rsid w:val="00C6365D"/>
    <w:rsid w:val="00C66348"/>
    <w:rsid w:val="00C7350F"/>
    <w:rsid w:val="00C75D61"/>
    <w:rsid w:val="00C7618D"/>
    <w:rsid w:val="00C77E41"/>
    <w:rsid w:val="00C77F38"/>
    <w:rsid w:val="00C8143F"/>
    <w:rsid w:val="00C82D7C"/>
    <w:rsid w:val="00C84756"/>
    <w:rsid w:val="00C84960"/>
    <w:rsid w:val="00C90227"/>
    <w:rsid w:val="00C914B4"/>
    <w:rsid w:val="00C917C1"/>
    <w:rsid w:val="00C92601"/>
    <w:rsid w:val="00C93FD1"/>
    <w:rsid w:val="00C973B1"/>
    <w:rsid w:val="00CA233C"/>
    <w:rsid w:val="00CA2353"/>
    <w:rsid w:val="00CA7013"/>
    <w:rsid w:val="00CB0E83"/>
    <w:rsid w:val="00CB35AC"/>
    <w:rsid w:val="00CB5231"/>
    <w:rsid w:val="00CC292C"/>
    <w:rsid w:val="00CC317D"/>
    <w:rsid w:val="00CC3D33"/>
    <w:rsid w:val="00CC492C"/>
    <w:rsid w:val="00CC57CB"/>
    <w:rsid w:val="00CC5A7E"/>
    <w:rsid w:val="00CC7E86"/>
    <w:rsid w:val="00CD1946"/>
    <w:rsid w:val="00CD20ED"/>
    <w:rsid w:val="00CD34D9"/>
    <w:rsid w:val="00CD3C6D"/>
    <w:rsid w:val="00CD5FF0"/>
    <w:rsid w:val="00CD671F"/>
    <w:rsid w:val="00CD724C"/>
    <w:rsid w:val="00CD7C29"/>
    <w:rsid w:val="00CD7EEA"/>
    <w:rsid w:val="00CE02BE"/>
    <w:rsid w:val="00CE3873"/>
    <w:rsid w:val="00CE3A01"/>
    <w:rsid w:val="00CE428C"/>
    <w:rsid w:val="00CE480D"/>
    <w:rsid w:val="00CE70A7"/>
    <w:rsid w:val="00CF101A"/>
    <w:rsid w:val="00CF178D"/>
    <w:rsid w:val="00CF3262"/>
    <w:rsid w:val="00CF4F95"/>
    <w:rsid w:val="00CF515F"/>
    <w:rsid w:val="00CF6192"/>
    <w:rsid w:val="00CF63CC"/>
    <w:rsid w:val="00CF7DE8"/>
    <w:rsid w:val="00D06041"/>
    <w:rsid w:val="00D072B7"/>
    <w:rsid w:val="00D10AB7"/>
    <w:rsid w:val="00D11454"/>
    <w:rsid w:val="00D11C7B"/>
    <w:rsid w:val="00D12706"/>
    <w:rsid w:val="00D13F33"/>
    <w:rsid w:val="00D1553B"/>
    <w:rsid w:val="00D16711"/>
    <w:rsid w:val="00D17294"/>
    <w:rsid w:val="00D20F81"/>
    <w:rsid w:val="00D223B8"/>
    <w:rsid w:val="00D22581"/>
    <w:rsid w:val="00D22CE7"/>
    <w:rsid w:val="00D23DB9"/>
    <w:rsid w:val="00D24DE2"/>
    <w:rsid w:val="00D27423"/>
    <w:rsid w:val="00D27431"/>
    <w:rsid w:val="00D31438"/>
    <w:rsid w:val="00D31942"/>
    <w:rsid w:val="00D31F34"/>
    <w:rsid w:val="00D32553"/>
    <w:rsid w:val="00D338FC"/>
    <w:rsid w:val="00D40709"/>
    <w:rsid w:val="00D409DD"/>
    <w:rsid w:val="00D444D1"/>
    <w:rsid w:val="00D446F1"/>
    <w:rsid w:val="00D44CFB"/>
    <w:rsid w:val="00D44ED9"/>
    <w:rsid w:val="00D45DE0"/>
    <w:rsid w:val="00D468C4"/>
    <w:rsid w:val="00D476DC"/>
    <w:rsid w:val="00D50D3B"/>
    <w:rsid w:val="00D51378"/>
    <w:rsid w:val="00D55E62"/>
    <w:rsid w:val="00D56895"/>
    <w:rsid w:val="00D56951"/>
    <w:rsid w:val="00D6112B"/>
    <w:rsid w:val="00D666E6"/>
    <w:rsid w:val="00D666F4"/>
    <w:rsid w:val="00D66B68"/>
    <w:rsid w:val="00D670CC"/>
    <w:rsid w:val="00D678AD"/>
    <w:rsid w:val="00D67F7D"/>
    <w:rsid w:val="00D7053D"/>
    <w:rsid w:val="00D71631"/>
    <w:rsid w:val="00D71723"/>
    <w:rsid w:val="00D71826"/>
    <w:rsid w:val="00D7235B"/>
    <w:rsid w:val="00D72412"/>
    <w:rsid w:val="00D74CEE"/>
    <w:rsid w:val="00D767AB"/>
    <w:rsid w:val="00D77502"/>
    <w:rsid w:val="00D800AB"/>
    <w:rsid w:val="00D80293"/>
    <w:rsid w:val="00D810AC"/>
    <w:rsid w:val="00D820FA"/>
    <w:rsid w:val="00D83CC6"/>
    <w:rsid w:val="00D84913"/>
    <w:rsid w:val="00D85CF2"/>
    <w:rsid w:val="00D87D2F"/>
    <w:rsid w:val="00D90B48"/>
    <w:rsid w:val="00D9357E"/>
    <w:rsid w:val="00D94228"/>
    <w:rsid w:val="00D94ACB"/>
    <w:rsid w:val="00D95071"/>
    <w:rsid w:val="00D95EAD"/>
    <w:rsid w:val="00D96C33"/>
    <w:rsid w:val="00D97656"/>
    <w:rsid w:val="00D97A48"/>
    <w:rsid w:val="00DA04E5"/>
    <w:rsid w:val="00DA0C9A"/>
    <w:rsid w:val="00DA11E7"/>
    <w:rsid w:val="00DA2A84"/>
    <w:rsid w:val="00DA6315"/>
    <w:rsid w:val="00DA634F"/>
    <w:rsid w:val="00DA63E7"/>
    <w:rsid w:val="00DB072D"/>
    <w:rsid w:val="00DB07CC"/>
    <w:rsid w:val="00DB12C2"/>
    <w:rsid w:val="00DB4C41"/>
    <w:rsid w:val="00DB7F5C"/>
    <w:rsid w:val="00DC29DD"/>
    <w:rsid w:val="00DC3E2E"/>
    <w:rsid w:val="00DC5825"/>
    <w:rsid w:val="00DC60A9"/>
    <w:rsid w:val="00DC61FF"/>
    <w:rsid w:val="00DD062F"/>
    <w:rsid w:val="00DD0AA1"/>
    <w:rsid w:val="00DD0F9E"/>
    <w:rsid w:val="00DD3BF0"/>
    <w:rsid w:val="00DD5A9D"/>
    <w:rsid w:val="00DD70ED"/>
    <w:rsid w:val="00DD7954"/>
    <w:rsid w:val="00DE04B1"/>
    <w:rsid w:val="00DE1E86"/>
    <w:rsid w:val="00DE2004"/>
    <w:rsid w:val="00DE26A4"/>
    <w:rsid w:val="00DE38B6"/>
    <w:rsid w:val="00DE4714"/>
    <w:rsid w:val="00DE5B47"/>
    <w:rsid w:val="00DF34AF"/>
    <w:rsid w:val="00DF5D6C"/>
    <w:rsid w:val="00DF6162"/>
    <w:rsid w:val="00DF7CE5"/>
    <w:rsid w:val="00E03C51"/>
    <w:rsid w:val="00E03E3D"/>
    <w:rsid w:val="00E04F45"/>
    <w:rsid w:val="00E0542E"/>
    <w:rsid w:val="00E0669D"/>
    <w:rsid w:val="00E0756C"/>
    <w:rsid w:val="00E11930"/>
    <w:rsid w:val="00E124B9"/>
    <w:rsid w:val="00E126BF"/>
    <w:rsid w:val="00E12A5F"/>
    <w:rsid w:val="00E12C6B"/>
    <w:rsid w:val="00E1369E"/>
    <w:rsid w:val="00E13D8A"/>
    <w:rsid w:val="00E171C9"/>
    <w:rsid w:val="00E17F85"/>
    <w:rsid w:val="00E24315"/>
    <w:rsid w:val="00E2575F"/>
    <w:rsid w:val="00E275A7"/>
    <w:rsid w:val="00E27889"/>
    <w:rsid w:val="00E30816"/>
    <w:rsid w:val="00E30CDC"/>
    <w:rsid w:val="00E30E9E"/>
    <w:rsid w:val="00E3316A"/>
    <w:rsid w:val="00E33655"/>
    <w:rsid w:val="00E33774"/>
    <w:rsid w:val="00E349CD"/>
    <w:rsid w:val="00E36122"/>
    <w:rsid w:val="00E365EA"/>
    <w:rsid w:val="00E40423"/>
    <w:rsid w:val="00E4081E"/>
    <w:rsid w:val="00E44046"/>
    <w:rsid w:val="00E44676"/>
    <w:rsid w:val="00E448BA"/>
    <w:rsid w:val="00E45F15"/>
    <w:rsid w:val="00E46BA2"/>
    <w:rsid w:val="00E51A94"/>
    <w:rsid w:val="00E51BCF"/>
    <w:rsid w:val="00E52916"/>
    <w:rsid w:val="00E553C6"/>
    <w:rsid w:val="00E5635D"/>
    <w:rsid w:val="00E56A71"/>
    <w:rsid w:val="00E56D75"/>
    <w:rsid w:val="00E579A8"/>
    <w:rsid w:val="00E579CC"/>
    <w:rsid w:val="00E62332"/>
    <w:rsid w:val="00E6367F"/>
    <w:rsid w:val="00E643FF"/>
    <w:rsid w:val="00E65F34"/>
    <w:rsid w:val="00E66CFA"/>
    <w:rsid w:val="00E6794B"/>
    <w:rsid w:val="00E7586E"/>
    <w:rsid w:val="00E75C85"/>
    <w:rsid w:val="00E80269"/>
    <w:rsid w:val="00E81269"/>
    <w:rsid w:val="00E8191E"/>
    <w:rsid w:val="00E82EB5"/>
    <w:rsid w:val="00E830C6"/>
    <w:rsid w:val="00E854DC"/>
    <w:rsid w:val="00E866B1"/>
    <w:rsid w:val="00E869D8"/>
    <w:rsid w:val="00E8722F"/>
    <w:rsid w:val="00E8736C"/>
    <w:rsid w:val="00E87F84"/>
    <w:rsid w:val="00E91C3F"/>
    <w:rsid w:val="00E91D90"/>
    <w:rsid w:val="00EA0A3F"/>
    <w:rsid w:val="00EA1CEA"/>
    <w:rsid w:val="00EA67B4"/>
    <w:rsid w:val="00EB0EB4"/>
    <w:rsid w:val="00EB0F13"/>
    <w:rsid w:val="00EB2FC7"/>
    <w:rsid w:val="00EB373A"/>
    <w:rsid w:val="00EB704E"/>
    <w:rsid w:val="00EB70C1"/>
    <w:rsid w:val="00EC00E7"/>
    <w:rsid w:val="00EC1F06"/>
    <w:rsid w:val="00EC2054"/>
    <w:rsid w:val="00EC24CA"/>
    <w:rsid w:val="00EC3F8E"/>
    <w:rsid w:val="00EC60ED"/>
    <w:rsid w:val="00EC6315"/>
    <w:rsid w:val="00EC6B64"/>
    <w:rsid w:val="00EC6D9C"/>
    <w:rsid w:val="00EC72AB"/>
    <w:rsid w:val="00ED338E"/>
    <w:rsid w:val="00ED3979"/>
    <w:rsid w:val="00ED49FF"/>
    <w:rsid w:val="00ED4CAD"/>
    <w:rsid w:val="00EE0C24"/>
    <w:rsid w:val="00EE0D43"/>
    <w:rsid w:val="00EE123B"/>
    <w:rsid w:val="00EE1C84"/>
    <w:rsid w:val="00EE2E55"/>
    <w:rsid w:val="00EE6B06"/>
    <w:rsid w:val="00EE7A97"/>
    <w:rsid w:val="00EF1BF9"/>
    <w:rsid w:val="00EF2348"/>
    <w:rsid w:val="00EF2856"/>
    <w:rsid w:val="00EF5144"/>
    <w:rsid w:val="00EF5253"/>
    <w:rsid w:val="00EF6E6D"/>
    <w:rsid w:val="00EF6F88"/>
    <w:rsid w:val="00EF7C42"/>
    <w:rsid w:val="00F00839"/>
    <w:rsid w:val="00F023EB"/>
    <w:rsid w:val="00F02BFC"/>
    <w:rsid w:val="00F04D61"/>
    <w:rsid w:val="00F04EFE"/>
    <w:rsid w:val="00F06AE5"/>
    <w:rsid w:val="00F07799"/>
    <w:rsid w:val="00F136EF"/>
    <w:rsid w:val="00F15BB0"/>
    <w:rsid w:val="00F1604D"/>
    <w:rsid w:val="00F20BA4"/>
    <w:rsid w:val="00F21661"/>
    <w:rsid w:val="00F21A5E"/>
    <w:rsid w:val="00F23158"/>
    <w:rsid w:val="00F26200"/>
    <w:rsid w:val="00F2677D"/>
    <w:rsid w:val="00F3015C"/>
    <w:rsid w:val="00F30C83"/>
    <w:rsid w:val="00F31D46"/>
    <w:rsid w:val="00F353FE"/>
    <w:rsid w:val="00F35AB5"/>
    <w:rsid w:val="00F36453"/>
    <w:rsid w:val="00F37449"/>
    <w:rsid w:val="00F37A1A"/>
    <w:rsid w:val="00F4105A"/>
    <w:rsid w:val="00F41584"/>
    <w:rsid w:val="00F4160C"/>
    <w:rsid w:val="00F41C9B"/>
    <w:rsid w:val="00F44425"/>
    <w:rsid w:val="00F44729"/>
    <w:rsid w:val="00F459A9"/>
    <w:rsid w:val="00F473DF"/>
    <w:rsid w:val="00F5167E"/>
    <w:rsid w:val="00F51A37"/>
    <w:rsid w:val="00F5232D"/>
    <w:rsid w:val="00F5307A"/>
    <w:rsid w:val="00F5312F"/>
    <w:rsid w:val="00F547BF"/>
    <w:rsid w:val="00F54AC0"/>
    <w:rsid w:val="00F54E72"/>
    <w:rsid w:val="00F5614A"/>
    <w:rsid w:val="00F5631C"/>
    <w:rsid w:val="00F56C55"/>
    <w:rsid w:val="00F5754E"/>
    <w:rsid w:val="00F6133E"/>
    <w:rsid w:val="00F613F2"/>
    <w:rsid w:val="00F617C2"/>
    <w:rsid w:val="00F61D3B"/>
    <w:rsid w:val="00F630A7"/>
    <w:rsid w:val="00F6457A"/>
    <w:rsid w:val="00F646B6"/>
    <w:rsid w:val="00F64B37"/>
    <w:rsid w:val="00F6566A"/>
    <w:rsid w:val="00F65A35"/>
    <w:rsid w:val="00F65C91"/>
    <w:rsid w:val="00F6694C"/>
    <w:rsid w:val="00F67BD3"/>
    <w:rsid w:val="00F70A5A"/>
    <w:rsid w:val="00F7146D"/>
    <w:rsid w:val="00F72105"/>
    <w:rsid w:val="00F73013"/>
    <w:rsid w:val="00F74B7B"/>
    <w:rsid w:val="00F750BE"/>
    <w:rsid w:val="00F75BC6"/>
    <w:rsid w:val="00F811C3"/>
    <w:rsid w:val="00F81D30"/>
    <w:rsid w:val="00F842D9"/>
    <w:rsid w:val="00FA08D1"/>
    <w:rsid w:val="00FA0F3C"/>
    <w:rsid w:val="00FA2159"/>
    <w:rsid w:val="00FA445D"/>
    <w:rsid w:val="00FA57FA"/>
    <w:rsid w:val="00FB102F"/>
    <w:rsid w:val="00FB148C"/>
    <w:rsid w:val="00FB3AF6"/>
    <w:rsid w:val="00FB4538"/>
    <w:rsid w:val="00FB46D4"/>
    <w:rsid w:val="00FB5218"/>
    <w:rsid w:val="00FB615C"/>
    <w:rsid w:val="00FC0F96"/>
    <w:rsid w:val="00FC3585"/>
    <w:rsid w:val="00FC554F"/>
    <w:rsid w:val="00FD085D"/>
    <w:rsid w:val="00FD3093"/>
    <w:rsid w:val="00FD4C67"/>
    <w:rsid w:val="00FD4DFC"/>
    <w:rsid w:val="00FD6D81"/>
    <w:rsid w:val="00FD7953"/>
    <w:rsid w:val="00FE0938"/>
    <w:rsid w:val="00FE09B3"/>
    <w:rsid w:val="00FE29BB"/>
    <w:rsid w:val="00FE30EC"/>
    <w:rsid w:val="00FE3648"/>
    <w:rsid w:val="00FE3E89"/>
    <w:rsid w:val="00FE4EB1"/>
    <w:rsid w:val="00FE5389"/>
    <w:rsid w:val="00FE6166"/>
    <w:rsid w:val="00FE69B0"/>
    <w:rsid w:val="00FE79A7"/>
    <w:rsid w:val="00FE79AA"/>
    <w:rsid w:val="00FF124E"/>
    <w:rsid w:val="00FF1BE5"/>
    <w:rsid w:val="00FF2D36"/>
    <w:rsid w:val="00FF316E"/>
    <w:rsid w:val="00FF3479"/>
    <w:rsid w:val="00FF3522"/>
    <w:rsid w:val="00FF461E"/>
    <w:rsid w:val="00FF4CC6"/>
    <w:rsid w:val="00FF4DA1"/>
    <w:rsid w:val="00FF7823"/>
    <w:rsid w:val="03551C32"/>
    <w:rsid w:val="04B29719"/>
    <w:rsid w:val="055449D0"/>
    <w:rsid w:val="08585A44"/>
    <w:rsid w:val="0C79D9CB"/>
    <w:rsid w:val="0EC79BC8"/>
    <w:rsid w:val="0F20FD0B"/>
    <w:rsid w:val="13043DDE"/>
    <w:rsid w:val="1524CD18"/>
    <w:rsid w:val="1583A05D"/>
    <w:rsid w:val="161177E2"/>
    <w:rsid w:val="16DA9B33"/>
    <w:rsid w:val="186E7E0E"/>
    <w:rsid w:val="18766B94"/>
    <w:rsid w:val="1A123BF5"/>
    <w:rsid w:val="1BAE0C56"/>
    <w:rsid w:val="1E952D3E"/>
    <w:rsid w:val="20817D79"/>
    <w:rsid w:val="23B275CA"/>
    <w:rsid w:val="23E6D176"/>
    <w:rsid w:val="2554EE9C"/>
    <w:rsid w:val="2564C82B"/>
    <w:rsid w:val="2B3DD7B6"/>
    <w:rsid w:val="30527B25"/>
    <w:rsid w:val="31952164"/>
    <w:rsid w:val="358D0A20"/>
    <w:rsid w:val="35F85DF3"/>
    <w:rsid w:val="3B63B550"/>
    <w:rsid w:val="3C4ED921"/>
    <w:rsid w:val="3E7B5E83"/>
    <w:rsid w:val="3F756FC7"/>
    <w:rsid w:val="3FEC8F42"/>
    <w:rsid w:val="3FF8E20D"/>
    <w:rsid w:val="430B07A7"/>
    <w:rsid w:val="4540D079"/>
    <w:rsid w:val="4616A38D"/>
    <w:rsid w:val="47AFBF4A"/>
    <w:rsid w:val="4BD1E2DD"/>
    <w:rsid w:val="4CFD90CE"/>
    <w:rsid w:val="52E7B01D"/>
    <w:rsid w:val="53360DED"/>
    <w:rsid w:val="55B8E279"/>
    <w:rsid w:val="57937D09"/>
    <w:rsid w:val="57E41F25"/>
    <w:rsid w:val="5A842FE8"/>
    <w:rsid w:val="5DBBD0AA"/>
    <w:rsid w:val="5DC3D120"/>
    <w:rsid w:val="5FF34443"/>
    <w:rsid w:val="5FF56B51"/>
    <w:rsid w:val="60FBADFE"/>
    <w:rsid w:val="61994C39"/>
    <w:rsid w:val="6327E3FA"/>
    <w:rsid w:val="66CC2C9B"/>
    <w:rsid w:val="6944D74C"/>
    <w:rsid w:val="6B68BF04"/>
    <w:rsid w:val="6EC5B767"/>
    <w:rsid w:val="6FDED1B4"/>
    <w:rsid w:val="742FFB21"/>
    <w:rsid w:val="749E9FCD"/>
    <w:rsid w:val="74C6CDB8"/>
    <w:rsid w:val="7569B295"/>
    <w:rsid w:val="75FDFD01"/>
    <w:rsid w:val="76352147"/>
    <w:rsid w:val="76C61058"/>
    <w:rsid w:val="7C3B0D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42E24"/>
  <w15:docId w15:val="{9C20CB6E-4AB5-4EB1-A397-01F53BEF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imes New Roman" w:hAnsi="Gill Sans MT" w:cs="Times New Roman"/>
        <w:sz w:val="24"/>
        <w:szCs w:val="24"/>
        <w:lang w:val="en-GB" w:eastAsia="en-GB" w:bidi="ar-SA"/>
      </w:rPr>
    </w:rPrDefault>
    <w:pPrDefault/>
  </w:docDefaults>
  <w:latentStyles w:defLockedState="0" w:defUIPriority="0" w:defSemiHidden="0" w:defUnhideWhenUsed="0" w:defQFormat="0" w:count="376">
    <w:lsdException w:name="Normal" w:uiPriority="5"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5"/>
    <w:qFormat/>
    <w:rsid w:val="00D56895"/>
    <w:pPr>
      <w:numPr>
        <w:numId w:val="11"/>
      </w:numPr>
      <w:spacing w:before="120"/>
    </w:pPr>
  </w:style>
  <w:style w:type="paragraph" w:styleId="Heading1">
    <w:name w:val="heading 1"/>
    <w:basedOn w:val="Normal"/>
    <w:next w:val="Normal"/>
    <w:semiHidden/>
    <w:qFormat/>
    <w:rsid w:val="00477399"/>
    <w:pPr>
      <w:keepNext/>
      <w:numPr>
        <w:numId w:val="0"/>
      </w:numPr>
      <w:outlineLvl w:val="0"/>
    </w:pPr>
    <w:rPr>
      <w:b/>
      <w:bCs/>
      <w:caps/>
      <w:kern w:val="32"/>
      <w:sz w:val="26"/>
      <w:szCs w:val="26"/>
    </w:rPr>
  </w:style>
  <w:style w:type="paragraph" w:styleId="Heading2">
    <w:name w:val="heading 2"/>
    <w:basedOn w:val="Normal"/>
    <w:next w:val="Normal"/>
    <w:semiHidden/>
    <w:qFormat/>
    <w:rsid w:val="00477399"/>
    <w:pPr>
      <w:keepNext/>
      <w:numPr>
        <w:numId w:val="0"/>
      </w:numPr>
      <w:outlineLvl w:val="1"/>
    </w:pPr>
    <w:rPr>
      <w:b/>
      <w:bCs/>
      <w:kern w:val="32"/>
      <w:szCs w:val="32"/>
    </w:rPr>
  </w:style>
  <w:style w:type="paragraph" w:styleId="Heading3">
    <w:name w:val="heading 3"/>
    <w:basedOn w:val="Normal"/>
    <w:next w:val="Normal"/>
    <w:uiPriority w:val="9"/>
    <w:qFormat/>
    <w:rsid w:val="00477399"/>
    <w:pPr>
      <w:keepNext/>
      <w:numPr>
        <w:numId w:val="0"/>
      </w:numPr>
      <w:outlineLvl w:val="2"/>
    </w:pPr>
    <w:rPr>
      <w:b/>
      <w:bCs/>
      <w:caps/>
      <w:sz w:val="28"/>
      <w:szCs w:val="26"/>
    </w:rPr>
  </w:style>
  <w:style w:type="paragraph" w:styleId="Heading4">
    <w:name w:val="heading 4"/>
    <w:basedOn w:val="Normal"/>
    <w:next w:val="Normal"/>
    <w:semiHidden/>
    <w:qFormat/>
    <w:rsid w:val="00477399"/>
    <w:pPr>
      <w:keepNext/>
      <w:numPr>
        <w:numId w:val="0"/>
      </w:numPr>
      <w:outlineLvl w:val="3"/>
    </w:pPr>
    <w:rPr>
      <w:b/>
      <w:bCs/>
      <w:szCs w:val="28"/>
    </w:rPr>
  </w:style>
  <w:style w:type="paragraph" w:styleId="Heading5">
    <w:name w:val="heading 5"/>
    <w:basedOn w:val="Normal"/>
    <w:next w:val="Normal"/>
    <w:semiHidden/>
    <w:qFormat/>
    <w:rsid w:val="00477399"/>
    <w:pPr>
      <w:numPr>
        <w:ilvl w:val="4"/>
      </w:numPr>
      <w:spacing w:before="240" w:after="60"/>
      <w:outlineLvl w:val="4"/>
    </w:pPr>
    <w:rPr>
      <w:b/>
      <w:bCs/>
      <w:i/>
      <w:iCs/>
      <w:sz w:val="26"/>
      <w:szCs w:val="26"/>
    </w:rPr>
  </w:style>
  <w:style w:type="paragraph" w:styleId="Heading6">
    <w:name w:val="heading 6"/>
    <w:basedOn w:val="Normal"/>
    <w:next w:val="Normal"/>
    <w:semiHidden/>
    <w:qFormat/>
    <w:rsid w:val="00477399"/>
    <w:pPr>
      <w:numPr>
        <w:ilvl w:val="5"/>
      </w:numPr>
      <w:spacing w:before="240" w:after="60"/>
      <w:outlineLvl w:val="5"/>
    </w:pPr>
    <w:rPr>
      <w:rFonts w:ascii="Times New Roman" w:hAnsi="Times New Roman"/>
      <w:b/>
      <w:bCs/>
      <w:szCs w:val="22"/>
    </w:rPr>
  </w:style>
  <w:style w:type="paragraph" w:styleId="Heading7">
    <w:name w:val="heading 7"/>
    <w:basedOn w:val="Normal"/>
    <w:next w:val="Normal"/>
    <w:semiHidden/>
    <w:qFormat/>
    <w:rsid w:val="00477399"/>
    <w:pPr>
      <w:numPr>
        <w:ilvl w:val="6"/>
      </w:numPr>
      <w:spacing w:before="240" w:after="60"/>
      <w:outlineLvl w:val="6"/>
    </w:pPr>
    <w:rPr>
      <w:rFonts w:ascii="Times New Roman" w:hAnsi="Times New Roman"/>
    </w:rPr>
  </w:style>
  <w:style w:type="paragraph" w:styleId="Heading8">
    <w:name w:val="heading 8"/>
    <w:basedOn w:val="Normal"/>
    <w:next w:val="Normal"/>
    <w:semiHidden/>
    <w:qFormat/>
    <w:rsid w:val="00477399"/>
    <w:pPr>
      <w:numPr>
        <w:ilvl w:val="7"/>
      </w:numPr>
      <w:spacing w:before="240" w:after="60"/>
      <w:outlineLvl w:val="7"/>
    </w:pPr>
    <w:rPr>
      <w:rFonts w:ascii="Times New Roman" w:hAnsi="Times New Roman"/>
      <w:i/>
      <w:iCs/>
    </w:rPr>
  </w:style>
  <w:style w:type="paragraph" w:styleId="Heading9">
    <w:name w:val="heading 9"/>
    <w:basedOn w:val="Normal"/>
    <w:next w:val="Normal"/>
    <w:semiHidden/>
    <w:qFormat/>
    <w:rsid w:val="00477399"/>
    <w:pPr>
      <w:numPr>
        <w:ilvl w:val="8"/>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rporatetablestyle">
    <w:name w:val="Corporate table style"/>
    <w:basedOn w:val="TableNormal"/>
    <w:rsid w:val="00477399"/>
    <w:pPr>
      <w:spacing w:before="60" w:after="60"/>
    </w:pPr>
    <w:rPr>
      <w:sz w:val="22"/>
    </w:rPr>
    <w:tblPr>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Wingdings 3" w:hAnsi="Wingdings 3"/>
        <w:b/>
        <w:bCs/>
        <w:color w:val="auto"/>
        <w:sz w:val="22"/>
      </w:rPr>
      <w:tblPr/>
      <w:tcPr>
        <w:tcBorders>
          <w:bottom w:val="single" w:sz="2" w:space="0" w:color="808080"/>
          <w:tl2br w:val="none" w:sz="0" w:space="0" w:color="auto"/>
          <w:tr2bl w:val="none" w:sz="0" w:space="0" w:color="auto"/>
        </w:tcBorders>
        <w:shd w:val="clear" w:color="auto" w:fill="C0C0C0"/>
      </w:tcPr>
    </w:tblStylePr>
  </w:style>
  <w:style w:type="paragraph" w:customStyle="1" w:styleId="Numberedpagesubheading">
    <w:name w:val="Numbered page sub heading"/>
    <w:basedOn w:val="Normal"/>
    <w:next w:val="Normal"/>
    <w:qFormat/>
    <w:rsid w:val="00AC3A29"/>
    <w:pPr>
      <w:numPr>
        <w:numId w:val="14"/>
      </w:numPr>
      <w:tabs>
        <w:tab w:val="clear" w:pos="360"/>
      </w:tabs>
      <w:ind w:left="567" w:hanging="567"/>
    </w:pPr>
    <w:rPr>
      <w:rFonts w:eastAsia="Arial"/>
      <w:b/>
      <w:lang w:val="en"/>
    </w:rPr>
  </w:style>
  <w:style w:type="paragraph" w:styleId="Footer">
    <w:name w:val="footer"/>
    <w:basedOn w:val="Normal"/>
    <w:link w:val="FooterChar"/>
    <w:uiPriority w:val="99"/>
    <w:rsid w:val="00477399"/>
    <w:pPr>
      <w:numPr>
        <w:numId w:val="0"/>
      </w:numPr>
      <w:tabs>
        <w:tab w:val="right" w:pos="9923"/>
      </w:tabs>
    </w:pPr>
    <w:rPr>
      <w:sz w:val="20"/>
    </w:rPr>
  </w:style>
  <w:style w:type="character" w:customStyle="1" w:styleId="FooterChar">
    <w:name w:val="Footer Char"/>
    <w:basedOn w:val="DefaultParagraphFont"/>
    <w:link w:val="Footer"/>
    <w:uiPriority w:val="99"/>
    <w:rsid w:val="00477399"/>
    <w:rPr>
      <w:sz w:val="20"/>
    </w:rPr>
  </w:style>
  <w:style w:type="paragraph" w:customStyle="1" w:styleId="FooterCaps">
    <w:name w:val="Footer Caps"/>
    <w:basedOn w:val="Normal"/>
    <w:link w:val="FooterCapsCharChar"/>
    <w:semiHidden/>
    <w:rsid w:val="00477399"/>
    <w:pPr>
      <w:numPr>
        <w:numId w:val="0"/>
      </w:numPr>
      <w:tabs>
        <w:tab w:val="right" w:pos="9576"/>
      </w:tabs>
    </w:pPr>
    <w:rPr>
      <w:caps/>
      <w:sz w:val="20"/>
      <w:szCs w:val="20"/>
    </w:rPr>
  </w:style>
  <w:style w:type="paragraph" w:customStyle="1" w:styleId="Bulleted">
    <w:name w:val="Bulleted"/>
    <w:basedOn w:val="Normal"/>
    <w:semiHidden/>
    <w:rsid w:val="00477399"/>
    <w:pPr>
      <w:numPr>
        <w:numId w:val="0"/>
      </w:numPr>
    </w:pPr>
  </w:style>
  <w:style w:type="character" w:customStyle="1" w:styleId="FooterCapsCharChar">
    <w:name w:val="Footer Caps Char Char"/>
    <w:basedOn w:val="DefaultParagraphFont"/>
    <w:link w:val="FooterCaps"/>
    <w:semiHidden/>
    <w:rsid w:val="00477399"/>
    <w:rPr>
      <w:caps/>
      <w:sz w:val="20"/>
      <w:szCs w:val="20"/>
    </w:rPr>
  </w:style>
  <w:style w:type="paragraph" w:customStyle="1" w:styleId="Highlighttext">
    <w:name w:val="Highlight text"/>
    <w:basedOn w:val="Normal"/>
    <w:next w:val="Normal"/>
    <w:link w:val="HighlighttextChar"/>
    <w:uiPriority w:val="12"/>
    <w:qFormat/>
    <w:rsid w:val="00477399"/>
    <w:pPr>
      <w:numPr>
        <w:numId w:val="0"/>
      </w:numPr>
      <w:pBdr>
        <w:top w:val="single" w:sz="4" w:space="3" w:color="BFBFBF" w:themeColor="background1" w:themeShade="BF"/>
        <w:left w:val="single" w:sz="4" w:space="4" w:color="BFBFBF" w:themeColor="background1" w:themeShade="BF"/>
        <w:bottom w:val="single" w:sz="4" w:space="3" w:color="BFBFBF" w:themeColor="background1" w:themeShade="BF"/>
        <w:right w:val="single" w:sz="4" w:space="4" w:color="BFBFBF" w:themeColor="background1" w:themeShade="BF"/>
      </w:pBdr>
      <w:shd w:val="clear" w:color="auto" w:fill="D9D9D9"/>
    </w:pPr>
  </w:style>
  <w:style w:type="table" w:styleId="TableGrid">
    <w:name w:val="Table Grid"/>
    <w:basedOn w:val="TableNormal"/>
    <w:uiPriority w:val="59"/>
    <w:rsid w:val="00477399"/>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477399"/>
    <w:rPr>
      <w:rFonts w:ascii="Gill Sans MT" w:hAnsi="Gill Sans MT"/>
      <w:color w:val="008000"/>
      <w:sz w:val="24"/>
      <w:u w:val="single"/>
    </w:rPr>
  </w:style>
  <w:style w:type="numbering" w:styleId="111111">
    <w:name w:val="Outline List 2"/>
    <w:basedOn w:val="NoList"/>
    <w:semiHidden/>
    <w:rsid w:val="00477399"/>
    <w:pPr>
      <w:numPr>
        <w:numId w:val="9"/>
      </w:numPr>
    </w:pPr>
  </w:style>
  <w:style w:type="paragraph" w:customStyle="1" w:styleId="ListNumbers">
    <w:name w:val="List Numbers"/>
    <w:basedOn w:val="Normal"/>
    <w:uiPriority w:val="8"/>
    <w:qFormat/>
    <w:rsid w:val="008A2CD3"/>
    <w:pPr>
      <w:numPr>
        <w:ilvl w:val="1"/>
      </w:numPr>
      <w:tabs>
        <w:tab w:val="clear" w:pos="567"/>
        <w:tab w:val="left" w:pos="284"/>
      </w:tabs>
    </w:pPr>
    <w:rPr>
      <w:szCs w:val="20"/>
      <w:lang w:val="en"/>
    </w:rPr>
  </w:style>
  <w:style w:type="paragraph" w:customStyle="1" w:styleId="Documenttitle">
    <w:name w:val="Document title"/>
    <w:basedOn w:val="Normal"/>
    <w:next w:val="Documentsubtitle"/>
    <w:qFormat/>
    <w:rsid w:val="00477399"/>
    <w:pPr>
      <w:keepNext/>
      <w:numPr>
        <w:numId w:val="0"/>
      </w:numPr>
      <w:spacing w:before="100" w:line="228" w:lineRule="auto"/>
      <w:ind w:left="113" w:right="1701"/>
    </w:pPr>
    <w:rPr>
      <w:b/>
      <w:caps/>
      <w:kern w:val="32"/>
      <w:sz w:val="36"/>
      <w:szCs w:val="44"/>
    </w:rPr>
  </w:style>
  <w:style w:type="paragraph" w:customStyle="1" w:styleId="Documentsubtitle">
    <w:name w:val="Document sub title"/>
    <w:basedOn w:val="Normal"/>
    <w:next w:val="Normal"/>
    <w:uiPriority w:val="2"/>
    <w:qFormat/>
    <w:rsid w:val="00477399"/>
    <w:pPr>
      <w:keepNext/>
      <w:numPr>
        <w:numId w:val="0"/>
      </w:numPr>
      <w:spacing w:before="40" w:line="228" w:lineRule="auto"/>
      <w:ind w:left="113" w:right="1701"/>
    </w:pPr>
    <w:rPr>
      <w:kern w:val="32"/>
      <w:sz w:val="28"/>
    </w:rPr>
  </w:style>
  <w:style w:type="paragraph" w:styleId="Header">
    <w:name w:val="header"/>
    <w:basedOn w:val="Normal"/>
    <w:semiHidden/>
    <w:rsid w:val="00477399"/>
    <w:pPr>
      <w:numPr>
        <w:numId w:val="0"/>
      </w:numPr>
      <w:tabs>
        <w:tab w:val="center" w:pos="4320"/>
        <w:tab w:val="right" w:pos="8640"/>
      </w:tabs>
    </w:pPr>
  </w:style>
  <w:style w:type="paragraph" w:styleId="ListBullet">
    <w:name w:val="List Bullet"/>
    <w:basedOn w:val="Normal"/>
    <w:uiPriority w:val="6"/>
    <w:qFormat/>
    <w:rsid w:val="00AD7650"/>
    <w:pPr>
      <w:numPr>
        <w:numId w:val="3"/>
      </w:numPr>
    </w:pPr>
    <w:rPr>
      <w:lang w:val="en"/>
    </w:rPr>
  </w:style>
  <w:style w:type="paragraph" w:styleId="BodyText">
    <w:name w:val="Body Text"/>
    <w:basedOn w:val="Normal"/>
    <w:semiHidden/>
    <w:rsid w:val="00477399"/>
    <w:pPr>
      <w:numPr>
        <w:numId w:val="0"/>
      </w:numPr>
      <w:spacing w:after="120"/>
    </w:pPr>
  </w:style>
  <w:style w:type="paragraph" w:styleId="ListBullet2">
    <w:name w:val="List Bullet 2"/>
    <w:basedOn w:val="Normal"/>
    <w:semiHidden/>
    <w:rsid w:val="00477399"/>
    <w:pPr>
      <w:numPr>
        <w:ilvl w:val="1"/>
        <w:numId w:val="3"/>
      </w:numPr>
    </w:pPr>
  </w:style>
  <w:style w:type="numbering" w:styleId="1ai">
    <w:name w:val="Outline List 1"/>
    <w:basedOn w:val="NoList"/>
    <w:semiHidden/>
    <w:rsid w:val="00477399"/>
    <w:pPr>
      <w:numPr>
        <w:numId w:val="8"/>
      </w:numPr>
    </w:pPr>
  </w:style>
  <w:style w:type="paragraph" w:styleId="ListBullet3">
    <w:name w:val="List Bullet 3"/>
    <w:basedOn w:val="Normal"/>
    <w:semiHidden/>
    <w:rsid w:val="00477399"/>
    <w:pPr>
      <w:numPr>
        <w:ilvl w:val="2"/>
        <w:numId w:val="3"/>
      </w:numPr>
    </w:pPr>
  </w:style>
  <w:style w:type="paragraph" w:styleId="ListBullet4">
    <w:name w:val="List Bullet 4"/>
    <w:basedOn w:val="Normal"/>
    <w:semiHidden/>
    <w:rsid w:val="00477399"/>
    <w:pPr>
      <w:numPr>
        <w:ilvl w:val="3"/>
        <w:numId w:val="3"/>
      </w:numPr>
    </w:pPr>
  </w:style>
  <w:style w:type="paragraph" w:styleId="ListBullet5">
    <w:name w:val="List Bullet 5"/>
    <w:basedOn w:val="Normal"/>
    <w:semiHidden/>
    <w:rsid w:val="00477399"/>
    <w:pPr>
      <w:numPr>
        <w:ilvl w:val="4"/>
        <w:numId w:val="3"/>
      </w:numPr>
    </w:pPr>
  </w:style>
  <w:style w:type="character" w:customStyle="1" w:styleId="HighlighttextChar">
    <w:name w:val="Highlight text Char"/>
    <w:basedOn w:val="DefaultParagraphFont"/>
    <w:link w:val="Highlighttext"/>
    <w:uiPriority w:val="12"/>
    <w:rsid w:val="00477399"/>
    <w:rPr>
      <w:shd w:val="clear" w:color="auto" w:fill="D9D9D9"/>
    </w:rPr>
  </w:style>
  <w:style w:type="numbering" w:styleId="ArticleSection">
    <w:name w:val="Outline List 3"/>
    <w:basedOn w:val="NoList"/>
    <w:semiHidden/>
    <w:rsid w:val="00477399"/>
    <w:pPr>
      <w:numPr>
        <w:numId w:val="10"/>
      </w:numPr>
    </w:pPr>
  </w:style>
  <w:style w:type="paragraph" w:styleId="BlockText">
    <w:name w:val="Block Text"/>
    <w:basedOn w:val="Normal"/>
    <w:semiHidden/>
    <w:rsid w:val="00477399"/>
    <w:pPr>
      <w:numPr>
        <w:numId w:val="0"/>
      </w:numPr>
      <w:spacing w:after="120"/>
      <w:ind w:right="1440"/>
    </w:pPr>
  </w:style>
  <w:style w:type="paragraph" w:styleId="BodyText2">
    <w:name w:val="Body Text 2"/>
    <w:basedOn w:val="Normal"/>
    <w:semiHidden/>
    <w:rsid w:val="00477399"/>
    <w:pPr>
      <w:numPr>
        <w:numId w:val="0"/>
      </w:numPr>
      <w:spacing w:after="120" w:line="480" w:lineRule="auto"/>
    </w:pPr>
  </w:style>
  <w:style w:type="paragraph" w:styleId="BodyText3">
    <w:name w:val="Body Text 3"/>
    <w:basedOn w:val="Normal"/>
    <w:semiHidden/>
    <w:rsid w:val="00477399"/>
    <w:pPr>
      <w:numPr>
        <w:numId w:val="0"/>
      </w:numPr>
      <w:spacing w:after="120"/>
    </w:pPr>
    <w:rPr>
      <w:sz w:val="16"/>
      <w:szCs w:val="16"/>
    </w:rPr>
  </w:style>
  <w:style w:type="paragraph" w:styleId="BodyTextFirstIndent">
    <w:name w:val="Body Text First Indent"/>
    <w:basedOn w:val="BodyText"/>
    <w:semiHidden/>
    <w:rsid w:val="00477399"/>
  </w:style>
  <w:style w:type="paragraph" w:styleId="BodyTextIndent">
    <w:name w:val="Body Text Indent"/>
    <w:basedOn w:val="Normal"/>
    <w:semiHidden/>
    <w:rsid w:val="00477399"/>
    <w:pPr>
      <w:numPr>
        <w:numId w:val="0"/>
      </w:numPr>
      <w:spacing w:after="120"/>
    </w:pPr>
  </w:style>
  <w:style w:type="paragraph" w:styleId="BodyTextFirstIndent2">
    <w:name w:val="Body Text First Indent 2"/>
    <w:basedOn w:val="BodyTextIndent"/>
    <w:semiHidden/>
    <w:rsid w:val="00477399"/>
  </w:style>
  <w:style w:type="paragraph" w:styleId="BodyTextIndent2">
    <w:name w:val="Body Text Indent 2"/>
    <w:basedOn w:val="Normal"/>
    <w:semiHidden/>
    <w:rsid w:val="00477399"/>
    <w:pPr>
      <w:numPr>
        <w:numId w:val="0"/>
      </w:numPr>
      <w:spacing w:after="120" w:line="480" w:lineRule="auto"/>
    </w:pPr>
  </w:style>
  <w:style w:type="paragraph" w:styleId="BodyTextIndent3">
    <w:name w:val="Body Text Indent 3"/>
    <w:basedOn w:val="Normal"/>
    <w:semiHidden/>
    <w:rsid w:val="00477399"/>
    <w:pPr>
      <w:numPr>
        <w:numId w:val="0"/>
      </w:numPr>
      <w:spacing w:after="120"/>
    </w:pPr>
    <w:rPr>
      <w:sz w:val="16"/>
      <w:szCs w:val="16"/>
    </w:rPr>
  </w:style>
  <w:style w:type="paragraph" w:styleId="Closing">
    <w:name w:val="Closing"/>
    <w:basedOn w:val="Normal"/>
    <w:semiHidden/>
    <w:rsid w:val="00477399"/>
    <w:pPr>
      <w:numPr>
        <w:numId w:val="0"/>
      </w:numPr>
    </w:pPr>
  </w:style>
  <w:style w:type="paragraph" w:styleId="Date">
    <w:name w:val="Date"/>
    <w:basedOn w:val="Normal"/>
    <w:next w:val="Normal"/>
    <w:semiHidden/>
    <w:rsid w:val="00477399"/>
    <w:pPr>
      <w:numPr>
        <w:numId w:val="0"/>
      </w:numPr>
    </w:pPr>
  </w:style>
  <w:style w:type="paragraph" w:styleId="E-mailSignature">
    <w:name w:val="E-mail Signature"/>
    <w:basedOn w:val="Normal"/>
    <w:semiHidden/>
    <w:rsid w:val="00477399"/>
    <w:pPr>
      <w:numPr>
        <w:numId w:val="0"/>
      </w:numPr>
    </w:pPr>
  </w:style>
  <w:style w:type="character" w:styleId="Emphasis">
    <w:name w:val="Emphasis"/>
    <w:basedOn w:val="DefaultParagraphFont"/>
    <w:semiHidden/>
    <w:qFormat/>
    <w:rsid w:val="00477399"/>
    <w:rPr>
      <w:i/>
      <w:iCs/>
    </w:rPr>
  </w:style>
  <w:style w:type="paragraph" w:styleId="EnvelopeAddress">
    <w:name w:val="envelope address"/>
    <w:basedOn w:val="Normal"/>
    <w:semiHidden/>
    <w:rsid w:val="00477399"/>
    <w:pPr>
      <w:framePr w:w="7920" w:h="1980" w:hRule="exact" w:hSpace="180" w:wrap="auto" w:hAnchor="page" w:xAlign="center" w:yAlign="bottom"/>
      <w:numPr>
        <w:numId w:val="0"/>
      </w:numPr>
    </w:pPr>
    <w:rPr>
      <w:rFonts w:ascii="Arial" w:hAnsi="Arial"/>
    </w:rPr>
  </w:style>
  <w:style w:type="paragraph" w:styleId="EnvelopeReturn">
    <w:name w:val="envelope return"/>
    <w:basedOn w:val="Normal"/>
    <w:semiHidden/>
    <w:rsid w:val="00477399"/>
    <w:pPr>
      <w:numPr>
        <w:numId w:val="0"/>
      </w:numPr>
    </w:pPr>
    <w:rPr>
      <w:rFonts w:ascii="Arial" w:hAnsi="Arial"/>
      <w:sz w:val="20"/>
      <w:szCs w:val="20"/>
    </w:rPr>
  </w:style>
  <w:style w:type="character" w:styleId="FollowedHyperlink">
    <w:name w:val="FollowedHyperlink"/>
    <w:basedOn w:val="DefaultParagraphFont"/>
    <w:uiPriority w:val="99"/>
    <w:semiHidden/>
    <w:rsid w:val="00477399"/>
    <w:rPr>
      <w:color w:val="800080"/>
      <w:u w:val="single"/>
    </w:rPr>
  </w:style>
  <w:style w:type="character" w:styleId="HTMLAcronym">
    <w:name w:val="HTML Acronym"/>
    <w:basedOn w:val="DefaultParagraphFont"/>
    <w:semiHidden/>
    <w:rsid w:val="00477399"/>
  </w:style>
  <w:style w:type="paragraph" w:styleId="HTMLAddress">
    <w:name w:val="HTML Address"/>
    <w:basedOn w:val="Normal"/>
    <w:semiHidden/>
    <w:rsid w:val="00477399"/>
    <w:pPr>
      <w:numPr>
        <w:numId w:val="0"/>
      </w:numPr>
    </w:pPr>
    <w:rPr>
      <w:i/>
      <w:iCs/>
    </w:rPr>
  </w:style>
  <w:style w:type="character" w:styleId="HTMLCite">
    <w:name w:val="HTML Cite"/>
    <w:basedOn w:val="DefaultParagraphFont"/>
    <w:semiHidden/>
    <w:rsid w:val="00477399"/>
    <w:rPr>
      <w:i/>
      <w:iCs/>
    </w:rPr>
  </w:style>
  <w:style w:type="character" w:styleId="HTMLCode">
    <w:name w:val="HTML Code"/>
    <w:basedOn w:val="DefaultParagraphFont"/>
    <w:semiHidden/>
    <w:rsid w:val="00477399"/>
    <w:rPr>
      <w:rFonts w:ascii="Courier New" w:hAnsi="Courier New" w:cs="Courier New"/>
      <w:sz w:val="20"/>
      <w:szCs w:val="20"/>
    </w:rPr>
  </w:style>
  <w:style w:type="character" w:styleId="HTMLDefinition">
    <w:name w:val="HTML Definition"/>
    <w:basedOn w:val="DefaultParagraphFont"/>
    <w:semiHidden/>
    <w:rsid w:val="00477399"/>
    <w:rPr>
      <w:i/>
      <w:iCs/>
    </w:rPr>
  </w:style>
  <w:style w:type="character" w:styleId="HTMLKeyboard">
    <w:name w:val="HTML Keyboard"/>
    <w:basedOn w:val="DefaultParagraphFont"/>
    <w:semiHidden/>
    <w:rsid w:val="00477399"/>
    <w:rPr>
      <w:rFonts w:ascii="Courier New" w:hAnsi="Courier New" w:cs="Courier New"/>
      <w:sz w:val="20"/>
      <w:szCs w:val="20"/>
    </w:rPr>
  </w:style>
  <w:style w:type="paragraph" w:styleId="HTMLPreformatted">
    <w:name w:val="HTML Preformatted"/>
    <w:basedOn w:val="Normal"/>
    <w:semiHidden/>
    <w:rsid w:val="00477399"/>
    <w:pPr>
      <w:numPr>
        <w:numId w:val="0"/>
      </w:numPr>
    </w:pPr>
    <w:rPr>
      <w:rFonts w:ascii="Courier New" w:hAnsi="Courier New" w:cs="Courier New"/>
      <w:sz w:val="20"/>
      <w:szCs w:val="20"/>
    </w:rPr>
  </w:style>
  <w:style w:type="character" w:styleId="HTMLSample">
    <w:name w:val="HTML Sample"/>
    <w:basedOn w:val="DefaultParagraphFont"/>
    <w:semiHidden/>
    <w:rsid w:val="00477399"/>
    <w:rPr>
      <w:rFonts w:ascii="Courier New" w:hAnsi="Courier New" w:cs="Courier New"/>
    </w:rPr>
  </w:style>
  <w:style w:type="character" w:styleId="HTMLTypewriter">
    <w:name w:val="HTML Typewriter"/>
    <w:basedOn w:val="DefaultParagraphFont"/>
    <w:semiHidden/>
    <w:rsid w:val="00477399"/>
    <w:rPr>
      <w:rFonts w:ascii="Courier New" w:hAnsi="Courier New" w:cs="Courier New"/>
      <w:sz w:val="20"/>
      <w:szCs w:val="20"/>
    </w:rPr>
  </w:style>
  <w:style w:type="character" w:styleId="HTMLVariable">
    <w:name w:val="HTML Variable"/>
    <w:basedOn w:val="DefaultParagraphFont"/>
    <w:semiHidden/>
    <w:rsid w:val="00477399"/>
    <w:rPr>
      <w:i/>
      <w:iCs/>
    </w:rPr>
  </w:style>
  <w:style w:type="character" w:styleId="LineNumber">
    <w:name w:val="line number"/>
    <w:basedOn w:val="DefaultParagraphFont"/>
    <w:semiHidden/>
    <w:rsid w:val="00477399"/>
  </w:style>
  <w:style w:type="paragraph" w:styleId="List">
    <w:name w:val="List"/>
    <w:basedOn w:val="Normal"/>
    <w:semiHidden/>
    <w:rsid w:val="00477399"/>
    <w:pPr>
      <w:numPr>
        <w:numId w:val="0"/>
      </w:numPr>
    </w:pPr>
  </w:style>
  <w:style w:type="paragraph" w:styleId="List2">
    <w:name w:val="List 2"/>
    <w:basedOn w:val="Normal"/>
    <w:semiHidden/>
    <w:rsid w:val="00477399"/>
    <w:pPr>
      <w:numPr>
        <w:numId w:val="0"/>
      </w:numPr>
    </w:pPr>
  </w:style>
  <w:style w:type="paragraph" w:styleId="List3">
    <w:name w:val="List 3"/>
    <w:basedOn w:val="Normal"/>
    <w:semiHidden/>
    <w:rsid w:val="00477399"/>
    <w:pPr>
      <w:numPr>
        <w:numId w:val="0"/>
      </w:numPr>
    </w:pPr>
  </w:style>
  <w:style w:type="paragraph" w:styleId="List4">
    <w:name w:val="List 4"/>
    <w:basedOn w:val="Normal"/>
    <w:semiHidden/>
    <w:rsid w:val="00477399"/>
    <w:pPr>
      <w:numPr>
        <w:numId w:val="0"/>
      </w:numPr>
    </w:pPr>
  </w:style>
  <w:style w:type="paragraph" w:styleId="List5">
    <w:name w:val="List 5"/>
    <w:basedOn w:val="Normal"/>
    <w:semiHidden/>
    <w:rsid w:val="00477399"/>
    <w:pPr>
      <w:numPr>
        <w:numId w:val="0"/>
      </w:numPr>
    </w:pPr>
  </w:style>
  <w:style w:type="paragraph" w:styleId="ListContinue">
    <w:name w:val="List Continue"/>
    <w:basedOn w:val="Normal"/>
    <w:semiHidden/>
    <w:rsid w:val="00477399"/>
    <w:pPr>
      <w:numPr>
        <w:numId w:val="0"/>
      </w:numPr>
      <w:spacing w:after="120"/>
    </w:pPr>
  </w:style>
  <w:style w:type="paragraph" w:styleId="ListContinue2">
    <w:name w:val="List Continue 2"/>
    <w:basedOn w:val="Normal"/>
    <w:semiHidden/>
    <w:rsid w:val="00477399"/>
    <w:pPr>
      <w:numPr>
        <w:numId w:val="0"/>
      </w:numPr>
      <w:spacing w:after="120"/>
    </w:pPr>
  </w:style>
  <w:style w:type="paragraph" w:styleId="ListContinue3">
    <w:name w:val="List Continue 3"/>
    <w:basedOn w:val="Normal"/>
    <w:semiHidden/>
    <w:rsid w:val="00477399"/>
    <w:pPr>
      <w:numPr>
        <w:numId w:val="0"/>
      </w:numPr>
      <w:spacing w:after="120"/>
    </w:pPr>
  </w:style>
  <w:style w:type="paragraph" w:styleId="ListContinue4">
    <w:name w:val="List Continue 4"/>
    <w:basedOn w:val="Normal"/>
    <w:semiHidden/>
    <w:rsid w:val="00477399"/>
    <w:pPr>
      <w:numPr>
        <w:numId w:val="0"/>
      </w:numPr>
      <w:spacing w:after="120"/>
    </w:pPr>
  </w:style>
  <w:style w:type="paragraph" w:styleId="ListContinue5">
    <w:name w:val="List Continue 5"/>
    <w:basedOn w:val="Normal"/>
    <w:semiHidden/>
    <w:rsid w:val="00477399"/>
    <w:pPr>
      <w:numPr>
        <w:numId w:val="0"/>
      </w:numPr>
      <w:spacing w:after="120"/>
    </w:pPr>
  </w:style>
  <w:style w:type="paragraph" w:styleId="ListNumber">
    <w:name w:val="List Number"/>
    <w:basedOn w:val="Normal"/>
    <w:semiHidden/>
    <w:rsid w:val="00477399"/>
    <w:pPr>
      <w:numPr>
        <w:numId w:val="2"/>
      </w:numPr>
    </w:pPr>
  </w:style>
  <w:style w:type="paragraph" w:styleId="ListNumber2">
    <w:name w:val="List Number 2"/>
    <w:basedOn w:val="Normal"/>
    <w:semiHidden/>
    <w:rsid w:val="00477399"/>
    <w:pPr>
      <w:numPr>
        <w:numId w:val="4"/>
      </w:numPr>
    </w:pPr>
  </w:style>
  <w:style w:type="paragraph" w:styleId="ListNumber3">
    <w:name w:val="List Number 3"/>
    <w:basedOn w:val="Normal"/>
    <w:semiHidden/>
    <w:rsid w:val="00477399"/>
    <w:pPr>
      <w:numPr>
        <w:numId w:val="5"/>
      </w:numPr>
    </w:pPr>
  </w:style>
  <w:style w:type="paragraph" w:styleId="ListNumber4">
    <w:name w:val="List Number 4"/>
    <w:basedOn w:val="Normal"/>
    <w:semiHidden/>
    <w:rsid w:val="00477399"/>
    <w:pPr>
      <w:numPr>
        <w:numId w:val="6"/>
      </w:numPr>
    </w:pPr>
  </w:style>
  <w:style w:type="paragraph" w:styleId="ListNumber5">
    <w:name w:val="List Number 5"/>
    <w:basedOn w:val="Normal"/>
    <w:semiHidden/>
    <w:rsid w:val="00477399"/>
    <w:pPr>
      <w:numPr>
        <w:numId w:val="7"/>
      </w:numPr>
    </w:pPr>
  </w:style>
  <w:style w:type="paragraph" w:styleId="MessageHeader">
    <w:name w:val="Message Header"/>
    <w:basedOn w:val="Normal"/>
    <w:semiHidden/>
    <w:rsid w:val="00477399"/>
    <w:pPr>
      <w:numPr>
        <w:numId w:val="0"/>
      </w:numPr>
      <w:pBdr>
        <w:top w:val="single" w:sz="6" w:space="1" w:color="auto"/>
        <w:left w:val="single" w:sz="6" w:space="1" w:color="auto"/>
        <w:bottom w:val="single" w:sz="6" w:space="1" w:color="auto"/>
        <w:right w:val="single" w:sz="6" w:space="1" w:color="auto"/>
      </w:pBdr>
      <w:shd w:val="pct20" w:color="auto" w:fill="auto"/>
    </w:pPr>
    <w:rPr>
      <w:rFonts w:ascii="Arial" w:hAnsi="Arial"/>
    </w:rPr>
  </w:style>
  <w:style w:type="paragraph" w:styleId="NormalWeb">
    <w:name w:val="Normal (Web)"/>
    <w:basedOn w:val="Normal"/>
    <w:uiPriority w:val="99"/>
    <w:rsid w:val="00477399"/>
    <w:pPr>
      <w:numPr>
        <w:numId w:val="0"/>
      </w:numPr>
    </w:pPr>
    <w:rPr>
      <w:rFonts w:ascii="Times New Roman" w:hAnsi="Times New Roman"/>
    </w:rPr>
  </w:style>
  <w:style w:type="paragraph" w:styleId="NormalIndent">
    <w:name w:val="Normal Indent"/>
    <w:basedOn w:val="Normal"/>
    <w:semiHidden/>
    <w:rsid w:val="00477399"/>
    <w:pPr>
      <w:numPr>
        <w:numId w:val="0"/>
      </w:numPr>
    </w:pPr>
  </w:style>
  <w:style w:type="paragraph" w:styleId="NoteHeading">
    <w:name w:val="Note Heading"/>
    <w:basedOn w:val="Normal"/>
    <w:next w:val="Normal"/>
    <w:semiHidden/>
    <w:rsid w:val="00477399"/>
    <w:pPr>
      <w:numPr>
        <w:numId w:val="0"/>
      </w:numPr>
    </w:pPr>
  </w:style>
  <w:style w:type="character" w:styleId="PageNumber">
    <w:name w:val="page number"/>
    <w:basedOn w:val="DefaultParagraphFont"/>
    <w:semiHidden/>
    <w:rsid w:val="00477399"/>
  </w:style>
  <w:style w:type="paragraph" w:styleId="PlainText">
    <w:name w:val="Plain Text"/>
    <w:basedOn w:val="Normal"/>
    <w:semiHidden/>
    <w:rsid w:val="00477399"/>
    <w:pPr>
      <w:numPr>
        <w:numId w:val="0"/>
      </w:numPr>
    </w:pPr>
    <w:rPr>
      <w:rFonts w:ascii="Courier New" w:hAnsi="Courier New" w:cs="Courier New"/>
      <w:sz w:val="20"/>
      <w:szCs w:val="20"/>
    </w:rPr>
  </w:style>
  <w:style w:type="paragraph" w:styleId="Salutation">
    <w:name w:val="Salutation"/>
    <w:basedOn w:val="Normal"/>
    <w:next w:val="Normal"/>
    <w:semiHidden/>
    <w:rsid w:val="00477399"/>
    <w:pPr>
      <w:numPr>
        <w:numId w:val="0"/>
      </w:numPr>
    </w:pPr>
  </w:style>
  <w:style w:type="paragraph" w:styleId="Signature">
    <w:name w:val="Signature"/>
    <w:basedOn w:val="Normal"/>
    <w:semiHidden/>
    <w:rsid w:val="00477399"/>
    <w:pPr>
      <w:numPr>
        <w:numId w:val="0"/>
      </w:numPr>
    </w:pPr>
  </w:style>
  <w:style w:type="character" w:styleId="Strong">
    <w:name w:val="Strong"/>
    <w:basedOn w:val="DefaultParagraphFont"/>
    <w:semiHidden/>
    <w:qFormat/>
    <w:rsid w:val="00477399"/>
    <w:rPr>
      <w:b/>
      <w:bCs/>
    </w:rPr>
  </w:style>
  <w:style w:type="paragraph" w:styleId="Subtitle">
    <w:name w:val="Subtitle"/>
    <w:basedOn w:val="Normal"/>
    <w:semiHidden/>
    <w:qFormat/>
    <w:rsid w:val="00477399"/>
    <w:pPr>
      <w:numPr>
        <w:numId w:val="0"/>
      </w:numPr>
      <w:spacing w:after="60"/>
      <w:jc w:val="center"/>
      <w:outlineLvl w:val="1"/>
    </w:pPr>
    <w:rPr>
      <w:rFonts w:ascii="Arial" w:hAnsi="Arial"/>
    </w:rPr>
  </w:style>
  <w:style w:type="table" w:styleId="Table3Deffects1">
    <w:name w:val="Table 3D effects 1"/>
    <w:basedOn w:val="TableNormal"/>
    <w:semiHidden/>
    <w:rsid w:val="00477399"/>
    <w:pPr>
      <w:numPr>
        <w:numId w:val="15"/>
      </w:numPr>
      <w:tabs>
        <w:tab w:val="num" w:pos="0"/>
      </w:tabs>
      <w:spacing w:before="120"/>
      <w:ind w:left="0" w:firstLine="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7399"/>
    <w:pPr>
      <w:numPr>
        <w:numId w:val="15"/>
      </w:numPr>
      <w:tabs>
        <w:tab w:val="num" w:pos="0"/>
      </w:tabs>
      <w:spacing w:before="120"/>
      <w:ind w:left="0" w:firstLine="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7399"/>
    <w:pPr>
      <w:numPr>
        <w:numId w:val="15"/>
      </w:numPr>
      <w:tabs>
        <w:tab w:val="num" w:pos="0"/>
      </w:tabs>
      <w:spacing w:before="120"/>
      <w:ind w:left="0" w:firstLine="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7399"/>
    <w:pPr>
      <w:numPr>
        <w:numId w:val="15"/>
      </w:numPr>
      <w:tabs>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7399"/>
    <w:pPr>
      <w:numPr>
        <w:numId w:val="15"/>
      </w:numPr>
      <w:tabs>
        <w:tab w:val="num" w:pos="0"/>
      </w:tabs>
      <w:spacing w:before="120"/>
      <w:ind w:left="0" w:firstLine="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7399"/>
    <w:pPr>
      <w:numPr>
        <w:numId w:val="15"/>
      </w:numPr>
      <w:tabs>
        <w:tab w:val="num" w:pos="0"/>
      </w:tabs>
      <w:spacing w:before="120"/>
      <w:ind w:left="0" w:firstLine="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7399"/>
    <w:pPr>
      <w:numPr>
        <w:numId w:val="15"/>
      </w:numPr>
      <w:tabs>
        <w:tab w:val="num" w:pos="0"/>
      </w:tabs>
      <w:spacing w:before="120"/>
      <w:ind w:left="0" w:firstLine="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7399"/>
    <w:pPr>
      <w:numPr>
        <w:numId w:val="15"/>
      </w:numPr>
      <w:tabs>
        <w:tab w:val="num" w:pos="0"/>
      </w:tabs>
      <w:spacing w:before="120"/>
      <w:ind w:left="0" w:firstLine="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7399"/>
    <w:pPr>
      <w:numPr>
        <w:numId w:val="15"/>
      </w:numPr>
      <w:tabs>
        <w:tab w:val="num" w:pos="0"/>
      </w:tabs>
      <w:spacing w:before="120"/>
      <w:ind w:left="0" w:firstLine="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7399"/>
    <w:pPr>
      <w:numPr>
        <w:numId w:val="15"/>
      </w:numPr>
      <w:tabs>
        <w:tab w:val="num" w:pos="0"/>
      </w:tabs>
      <w:spacing w:before="120"/>
      <w:ind w:left="0" w:firstLine="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7399"/>
    <w:pPr>
      <w:numPr>
        <w:numId w:val="15"/>
      </w:numPr>
      <w:tabs>
        <w:tab w:val="num" w:pos="0"/>
      </w:tabs>
      <w:spacing w:before="120"/>
      <w:ind w:left="0" w:firstLine="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7399"/>
    <w:pPr>
      <w:numPr>
        <w:numId w:val="15"/>
      </w:numPr>
      <w:tabs>
        <w:tab w:val="num" w:pos="0"/>
      </w:tabs>
      <w:spacing w:before="120"/>
      <w:ind w:left="0" w:firstLine="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7399"/>
    <w:pPr>
      <w:numPr>
        <w:numId w:val="15"/>
      </w:numPr>
      <w:tabs>
        <w:tab w:val="num" w:pos="0"/>
      </w:tabs>
      <w:spacing w:before="120"/>
      <w:ind w:left="0" w:firstLine="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7399"/>
    <w:pPr>
      <w:numPr>
        <w:numId w:val="15"/>
      </w:numPr>
      <w:tabs>
        <w:tab w:val="num" w:pos="0"/>
      </w:tabs>
      <w:spacing w:before="120"/>
      <w:ind w:left="0" w:firstLine="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7399"/>
    <w:pPr>
      <w:numPr>
        <w:numId w:val="15"/>
      </w:numPr>
      <w:tabs>
        <w:tab w:val="num" w:pos="0"/>
      </w:tabs>
      <w:spacing w:before="120"/>
      <w:ind w:left="0" w:firstLine="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7399"/>
    <w:pPr>
      <w:numPr>
        <w:numId w:val="15"/>
      </w:numPr>
      <w:tabs>
        <w:tab w:val="num" w:pos="0"/>
      </w:tabs>
      <w:spacing w:before="120"/>
      <w:ind w:left="0" w:firstLine="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7399"/>
    <w:pPr>
      <w:numPr>
        <w:numId w:val="15"/>
      </w:numPr>
      <w:tabs>
        <w:tab w:val="num" w:pos="0"/>
      </w:tabs>
      <w:spacing w:before="120"/>
      <w:ind w:left="0" w:firstLine="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7399"/>
    <w:pPr>
      <w:numPr>
        <w:numId w:val="15"/>
      </w:numPr>
      <w:tabs>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7399"/>
    <w:pPr>
      <w:numPr>
        <w:numId w:val="15"/>
      </w:numPr>
      <w:tabs>
        <w:tab w:val="num" w:pos="0"/>
      </w:tabs>
      <w:spacing w:before="120"/>
      <w:ind w:left="0" w:firstLine="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7399"/>
    <w:pPr>
      <w:numPr>
        <w:numId w:val="15"/>
      </w:numPr>
      <w:tabs>
        <w:tab w:val="num" w:pos="0"/>
      </w:tabs>
      <w:spacing w:before="120"/>
      <w:ind w:left="0" w:firstLine="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7399"/>
    <w:pPr>
      <w:numPr>
        <w:numId w:val="15"/>
      </w:numPr>
      <w:tabs>
        <w:tab w:val="num" w:pos="0"/>
      </w:tabs>
      <w:spacing w:before="120"/>
      <w:ind w:left="0" w:firstLine="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7399"/>
    <w:pPr>
      <w:numPr>
        <w:numId w:val="15"/>
      </w:numPr>
      <w:tabs>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7399"/>
    <w:pPr>
      <w:numPr>
        <w:numId w:val="15"/>
      </w:numPr>
      <w:tabs>
        <w:tab w:val="num" w:pos="0"/>
      </w:tabs>
      <w:spacing w:before="120"/>
      <w:ind w:left="0" w:firstLine="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7399"/>
    <w:pPr>
      <w:numPr>
        <w:numId w:val="15"/>
      </w:numPr>
      <w:tabs>
        <w:tab w:val="num" w:pos="0"/>
      </w:tabs>
      <w:spacing w:before="120"/>
      <w:ind w:left="0" w:firstLine="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7399"/>
    <w:pPr>
      <w:numPr>
        <w:numId w:val="15"/>
      </w:numPr>
      <w:tabs>
        <w:tab w:val="num" w:pos="0"/>
      </w:tabs>
      <w:spacing w:before="120"/>
      <w:ind w:left="0" w:firstLine="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7399"/>
    <w:pPr>
      <w:numPr>
        <w:numId w:val="15"/>
      </w:numPr>
      <w:tabs>
        <w:tab w:val="num" w:pos="0"/>
      </w:tabs>
      <w:spacing w:before="120"/>
      <w:ind w:left="0" w:firstLine="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7399"/>
    <w:pPr>
      <w:numPr>
        <w:numId w:val="15"/>
      </w:numPr>
      <w:tabs>
        <w:tab w:val="num" w:pos="0"/>
      </w:tabs>
      <w:spacing w:before="120"/>
      <w:ind w:left="0" w:firstLine="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7399"/>
    <w:pPr>
      <w:numPr>
        <w:numId w:val="15"/>
      </w:numPr>
      <w:tabs>
        <w:tab w:val="num" w:pos="0"/>
      </w:tabs>
      <w:spacing w:before="120"/>
      <w:ind w:left="0" w:firstLine="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7399"/>
    <w:pPr>
      <w:numPr>
        <w:numId w:val="15"/>
      </w:numPr>
      <w:tabs>
        <w:tab w:val="num" w:pos="0"/>
      </w:tabs>
      <w:spacing w:before="120"/>
      <w:ind w:left="0" w:firstLine="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7399"/>
    <w:pPr>
      <w:numPr>
        <w:numId w:val="15"/>
      </w:numPr>
      <w:tabs>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7399"/>
    <w:pPr>
      <w:numPr>
        <w:numId w:val="15"/>
      </w:numPr>
      <w:tabs>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7399"/>
    <w:pPr>
      <w:numPr>
        <w:numId w:val="15"/>
      </w:numPr>
      <w:tabs>
        <w:tab w:val="num" w:pos="0"/>
      </w:tabs>
      <w:spacing w:before="120"/>
      <w:ind w:left="0" w:firstLine="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7399"/>
    <w:pPr>
      <w:numPr>
        <w:numId w:val="15"/>
      </w:numPr>
      <w:tabs>
        <w:tab w:val="num" w:pos="0"/>
      </w:tabs>
      <w:spacing w:before="120"/>
      <w:ind w:left="0" w:firstLine="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7399"/>
    <w:pPr>
      <w:numPr>
        <w:numId w:val="15"/>
      </w:numPr>
      <w:tabs>
        <w:tab w:val="num" w:pos="0"/>
      </w:tabs>
      <w:spacing w:before="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7399"/>
    <w:pPr>
      <w:numPr>
        <w:numId w:val="15"/>
      </w:numPr>
      <w:tabs>
        <w:tab w:val="num" w:pos="0"/>
      </w:tabs>
      <w:spacing w:before="120"/>
      <w:ind w:left="0" w:firstLine="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7399"/>
    <w:pPr>
      <w:numPr>
        <w:numId w:val="15"/>
      </w:numPr>
      <w:tabs>
        <w:tab w:val="num" w:pos="0"/>
      </w:tabs>
      <w:spacing w:before="120"/>
      <w:ind w:left="0" w:firstLine="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7399"/>
    <w:pPr>
      <w:numPr>
        <w:numId w:val="15"/>
      </w:numPr>
      <w:tabs>
        <w:tab w:val="num" w:pos="0"/>
      </w:tabs>
      <w:spacing w:before="120"/>
      <w:ind w:left="0" w:firstLine="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7399"/>
    <w:pPr>
      <w:numPr>
        <w:numId w:val="15"/>
      </w:numPr>
      <w:tabs>
        <w:tab w:val="num" w:pos="0"/>
      </w:tabs>
      <w:spacing w:before="120"/>
      <w:ind w:left="0" w:firstLine="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7399"/>
    <w:pPr>
      <w:numPr>
        <w:numId w:val="15"/>
      </w:numPr>
      <w:tabs>
        <w:tab w:val="num" w:pos="0"/>
      </w:tabs>
      <w:spacing w:before="120"/>
      <w:ind w:left="0" w:firstLine="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7399"/>
    <w:pPr>
      <w:numPr>
        <w:numId w:val="15"/>
      </w:numPr>
      <w:tabs>
        <w:tab w:val="num" w:pos="0"/>
      </w:tabs>
      <w:spacing w:before="12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7399"/>
    <w:pPr>
      <w:numPr>
        <w:numId w:val="15"/>
      </w:numPr>
      <w:tabs>
        <w:tab w:val="num" w:pos="0"/>
      </w:tabs>
      <w:spacing w:before="120"/>
      <w:ind w:left="0" w:firstLine="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7399"/>
    <w:pPr>
      <w:numPr>
        <w:numId w:val="15"/>
      </w:numPr>
      <w:tabs>
        <w:tab w:val="num" w:pos="0"/>
      </w:tabs>
      <w:spacing w:before="120"/>
      <w:ind w:left="0" w:firstLine="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7399"/>
    <w:pPr>
      <w:numPr>
        <w:numId w:val="15"/>
      </w:numPr>
      <w:tabs>
        <w:tab w:val="num" w:pos="0"/>
      </w:tabs>
      <w:spacing w:before="120"/>
      <w:ind w:left="0" w:firstLine="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477399"/>
    <w:pPr>
      <w:numPr>
        <w:numId w:val="0"/>
      </w:numPr>
      <w:spacing w:before="240" w:after="60"/>
      <w:jc w:val="center"/>
      <w:outlineLvl w:val="0"/>
    </w:pPr>
    <w:rPr>
      <w:rFonts w:ascii="Arial" w:hAnsi="Arial"/>
      <w:b/>
      <w:bCs/>
      <w:kern w:val="28"/>
      <w:sz w:val="32"/>
      <w:szCs w:val="32"/>
    </w:rPr>
  </w:style>
  <w:style w:type="paragraph" w:customStyle="1" w:styleId="ListSubbullet">
    <w:name w:val="List Sub bullet"/>
    <w:basedOn w:val="ListBullet"/>
    <w:uiPriority w:val="7"/>
    <w:qFormat/>
    <w:rsid w:val="00AD7650"/>
    <w:pPr>
      <w:numPr>
        <w:numId w:val="13"/>
      </w:numPr>
    </w:pPr>
  </w:style>
  <w:style w:type="table" w:styleId="LightShading">
    <w:name w:val="Light Shading"/>
    <w:basedOn w:val="TableNormal"/>
    <w:uiPriority w:val="60"/>
    <w:rsid w:val="004773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geheading">
    <w:name w:val="Page heading"/>
    <w:basedOn w:val="Heading1"/>
    <w:next w:val="Normal"/>
    <w:uiPriority w:val="3"/>
    <w:qFormat/>
    <w:rsid w:val="00477399"/>
  </w:style>
  <w:style w:type="paragraph" w:customStyle="1" w:styleId="Pagesubheading">
    <w:name w:val="Page sub heading"/>
    <w:basedOn w:val="Heading2"/>
    <w:uiPriority w:val="4"/>
    <w:qFormat/>
    <w:rsid w:val="00477399"/>
  </w:style>
  <w:style w:type="numbering" w:customStyle="1" w:styleId="Numbered">
    <w:name w:val="Numbered"/>
    <w:uiPriority w:val="99"/>
    <w:rsid w:val="00477399"/>
    <w:pPr>
      <w:numPr>
        <w:numId w:val="12"/>
      </w:numPr>
    </w:pPr>
  </w:style>
  <w:style w:type="paragraph" w:styleId="ListParagraph">
    <w:name w:val="List Paragraph"/>
    <w:basedOn w:val="Normal"/>
    <w:uiPriority w:val="34"/>
    <w:qFormat/>
    <w:rsid w:val="00477399"/>
    <w:pPr>
      <w:numPr>
        <w:numId w:val="0"/>
      </w:numPr>
      <w:contextualSpacing/>
    </w:pPr>
  </w:style>
  <w:style w:type="paragraph" w:customStyle="1" w:styleId="Numberedpageheading">
    <w:name w:val="Numbered page heading"/>
    <w:basedOn w:val="Numberedpagesubheading"/>
    <w:next w:val="Normal"/>
    <w:uiPriority w:val="5"/>
    <w:qFormat/>
    <w:rsid w:val="00AC3A29"/>
    <w:rPr>
      <w:caps/>
    </w:rPr>
  </w:style>
  <w:style w:type="table" w:customStyle="1" w:styleId="Blindtable">
    <w:name w:val="Blind table"/>
    <w:basedOn w:val="TableNormal"/>
    <w:uiPriority w:val="99"/>
    <w:rsid w:val="00477399"/>
    <w:rPr>
      <w:color w:val="000000" w:themeColor="text1"/>
    </w:rPr>
    <w:tblPr/>
    <w:tcPr>
      <w:shd w:val="clear" w:color="auto" w:fill="FFFFFF" w:themeFill="background1"/>
    </w:tcPr>
  </w:style>
  <w:style w:type="table" w:customStyle="1" w:styleId="Blind">
    <w:name w:val="Blind"/>
    <w:basedOn w:val="Corporatetablestyle"/>
    <w:uiPriority w:val="99"/>
    <w:rsid w:val="00477399"/>
    <w:rPr>
      <w:color w:val="000000" w:themeColor="text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outlineLvl w:val="9"/>
      </w:pPr>
      <w:rPr>
        <w:rFonts w:ascii="Wingdings 3" w:hAnsi="Wingdings 3"/>
        <w:b w:val="0"/>
        <w:bCs/>
        <w:color w:val="auto"/>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auto"/>
      </w:tcPr>
    </w:tblStylePr>
  </w:style>
  <w:style w:type="paragraph" w:customStyle="1" w:styleId="Listnumbersleveltwo">
    <w:name w:val="List numbers level two"/>
    <w:basedOn w:val="Numberedpagesubheading"/>
    <w:uiPriority w:val="9"/>
    <w:qFormat/>
    <w:rsid w:val="00AC3A29"/>
    <w:pPr>
      <w:numPr>
        <w:ilvl w:val="1"/>
      </w:numPr>
      <w:tabs>
        <w:tab w:val="clear" w:pos="792"/>
      </w:tabs>
      <w:ind w:left="567" w:hanging="567"/>
    </w:pPr>
    <w:rPr>
      <w:b w:val="0"/>
    </w:rPr>
  </w:style>
  <w:style w:type="paragraph" w:customStyle="1" w:styleId="Listnumberslevelthree">
    <w:name w:val="List numbers level three"/>
    <w:basedOn w:val="Listnumbersleveltwo"/>
    <w:uiPriority w:val="5"/>
    <w:qFormat/>
    <w:rsid w:val="00AC3A29"/>
    <w:pPr>
      <w:numPr>
        <w:ilvl w:val="2"/>
      </w:numPr>
      <w:tabs>
        <w:tab w:val="clear" w:pos="1440"/>
      </w:tabs>
      <w:ind w:left="567" w:hanging="567"/>
    </w:pPr>
  </w:style>
  <w:style w:type="paragraph" w:customStyle="1" w:styleId="TableParagraph">
    <w:name w:val="Table Paragraph"/>
    <w:basedOn w:val="Normal"/>
    <w:uiPriority w:val="1"/>
    <w:qFormat/>
    <w:rsid w:val="005D37DE"/>
    <w:pPr>
      <w:widowControl w:val="0"/>
      <w:numPr>
        <w:numId w:val="0"/>
      </w:numPr>
      <w:autoSpaceDE w:val="0"/>
      <w:autoSpaceDN w:val="0"/>
      <w:spacing w:before="96"/>
      <w:ind w:left="107"/>
    </w:pPr>
    <w:rPr>
      <w:rFonts w:ascii="Calibri" w:eastAsia="Calibri" w:hAnsi="Calibri" w:cs="Calibri"/>
      <w:sz w:val="22"/>
      <w:szCs w:val="22"/>
      <w:lang w:bidi="en-GB"/>
    </w:rPr>
  </w:style>
  <w:style w:type="character" w:styleId="IntenseEmphasis">
    <w:name w:val="Intense Emphasis"/>
    <w:basedOn w:val="DefaultParagraphFont"/>
    <w:uiPriority w:val="21"/>
    <w:qFormat/>
    <w:rsid w:val="00122535"/>
    <w:rPr>
      <w:b/>
      <w:bCs/>
      <w:i/>
      <w:iCs/>
      <w:color w:val="4F81BD" w:themeColor="accent1"/>
    </w:rPr>
  </w:style>
  <w:style w:type="character" w:styleId="CommentReference">
    <w:name w:val="annotation reference"/>
    <w:basedOn w:val="DefaultParagraphFont"/>
    <w:semiHidden/>
    <w:unhideWhenUsed/>
    <w:rsid w:val="00896793"/>
    <w:rPr>
      <w:sz w:val="16"/>
      <w:szCs w:val="16"/>
    </w:rPr>
  </w:style>
  <w:style w:type="paragraph" w:styleId="CommentText">
    <w:name w:val="annotation text"/>
    <w:basedOn w:val="Normal"/>
    <w:link w:val="CommentTextChar"/>
    <w:unhideWhenUsed/>
    <w:rsid w:val="00896793"/>
    <w:pPr>
      <w:numPr>
        <w:numId w:val="1"/>
      </w:numPr>
    </w:pPr>
    <w:rPr>
      <w:sz w:val="20"/>
      <w:szCs w:val="20"/>
    </w:rPr>
  </w:style>
  <w:style w:type="character" w:customStyle="1" w:styleId="CommentTextChar">
    <w:name w:val="Comment Text Char"/>
    <w:basedOn w:val="DefaultParagraphFont"/>
    <w:link w:val="CommentText"/>
    <w:rsid w:val="00896793"/>
    <w:rPr>
      <w:sz w:val="20"/>
      <w:szCs w:val="20"/>
    </w:rPr>
  </w:style>
  <w:style w:type="paragraph" w:styleId="BalloonText">
    <w:name w:val="Balloon Text"/>
    <w:basedOn w:val="Normal"/>
    <w:link w:val="BalloonTextChar"/>
    <w:semiHidden/>
    <w:unhideWhenUsed/>
    <w:rsid w:val="0089679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96793"/>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6F427D"/>
    <w:pPr>
      <w:numPr>
        <w:numId w:val="11"/>
      </w:numPr>
    </w:pPr>
    <w:rPr>
      <w:b/>
      <w:bCs/>
    </w:rPr>
  </w:style>
  <w:style w:type="character" w:customStyle="1" w:styleId="CommentSubjectChar">
    <w:name w:val="Comment Subject Char"/>
    <w:basedOn w:val="CommentTextChar"/>
    <w:link w:val="CommentSubject"/>
    <w:semiHidden/>
    <w:rsid w:val="006F427D"/>
    <w:rPr>
      <w:b/>
      <w:bCs/>
      <w:sz w:val="20"/>
      <w:szCs w:val="20"/>
    </w:rPr>
  </w:style>
  <w:style w:type="paragraph" w:customStyle="1" w:styleId="msonormal0">
    <w:name w:val="msonormal"/>
    <w:basedOn w:val="Normal"/>
    <w:rsid w:val="00B25AE2"/>
    <w:pPr>
      <w:numPr>
        <w:numId w:val="0"/>
      </w:numPr>
      <w:spacing w:before="100" w:beforeAutospacing="1" w:after="100" w:afterAutospacing="1"/>
    </w:pPr>
    <w:rPr>
      <w:rFonts w:ascii="Times New Roman" w:hAnsi="Times New Roman"/>
    </w:rPr>
  </w:style>
  <w:style w:type="paragraph" w:customStyle="1" w:styleId="xl65">
    <w:name w:val="xl65"/>
    <w:basedOn w:val="Normal"/>
    <w:rsid w:val="00B25AE2"/>
    <w:pPr>
      <w:numPr>
        <w:numId w:val="0"/>
      </w:numPr>
      <w:spacing w:before="100" w:beforeAutospacing="1" w:after="100" w:afterAutospacing="1"/>
      <w:textAlignment w:val="top"/>
    </w:pPr>
    <w:rPr>
      <w:rFonts w:ascii="Times New Roman" w:hAnsi="Times New Roman"/>
    </w:rPr>
  </w:style>
  <w:style w:type="paragraph" w:customStyle="1" w:styleId="xl66">
    <w:name w:val="xl66"/>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rFonts w:ascii="Times New Roman" w:hAnsi="Times New Roman"/>
      <w:b/>
      <w:bCs/>
      <w:sz w:val="20"/>
      <w:szCs w:val="20"/>
    </w:rPr>
  </w:style>
  <w:style w:type="paragraph" w:customStyle="1" w:styleId="xl67">
    <w:name w:val="xl67"/>
    <w:basedOn w:val="Normal"/>
    <w:rsid w:val="00B25AE2"/>
    <w:pPr>
      <w:numPr>
        <w:numId w:val="0"/>
      </w:numPr>
      <w:spacing w:before="100" w:beforeAutospacing="1" w:after="100" w:afterAutospacing="1"/>
      <w:textAlignment w:val="top"/>
    </w:pPr>
    <w:rPr>
      <w:rFonts w:ascii="Times New Roman" w:hAnsi="Times New Roman"/>
      <w:b/>
      <w:bCs/>
      <w:sz w:val="28"/>
      <w:szCs w:val="28"/>
    </w:rPr>
  </w:style>
  <w:style w:type="paragraph" w:customStyle="1" w:styleId="xl68">
    <w:name w:val="xl68"/>
    <w:basedOn w:val="Normal"/>
    <w:rsid w:val="00B25AE2"/>
    <w:pPr>
      <w:numPr>
        <w:numId w:val="0"/>
      </w:numPr>
      <w:spacing w:before="100" w:beforeAutospacing="1" w:after="100" w:afterAutospacing="1"/>
      <w:textAlignment w:val="top"/>
    </w:pPr>
    <w:rPr>
      <w:rFonts w:ascii="Times New Roman" w:hAnsi="Times New Roman"/>
      <w:b/>
      <w:bCs/>
    </w:rPr>
  </w:style>
  <w:style w:type="paragraph" w:customStyle="1" w:styleId="xl69">
    <w:name w:val="xl69"/>
    <w:basedOn w:val="Normal"/>
    <w:rsid w:val="00B25AE2"/>
    <w:pPr>
      <w:numPr>
        <w:numId w:val="0"/>
      </w:numPr>
      <w:spacing w:before="100" w:beforeAutospacing="1" w:after="100" w:afterAutospacing="1"/>
      <w:textAlignment w:val="top"/>
    </w:pPr>
    <w:rPr>
      <w:rFonts w:ascii="Times New Roman" w:hAnsi="Times New Roman"/>
      <w:b/>
      <w:bCs/>
      <w:sz w:val="20"/>
      <w:szCs w:val="20"/>
    </w:rPr>
  </w:style>
  <w:style w:type="paragraph" w:customStyle="1" w:styleId="xl70">
    <w:name w:val="xl70"/>
    <w:basedOn w:val="Normal"/>
    <w:rsid w:val="00B25AE2"/>
    <w:pPr>
      <w:numPr>
        <w:numId w:val="0"/>
      </w:numPr>
      <w:spacing w:before="100" w:beforeAutospacing="1" w:after="100" w:afterAutospacing="1"/>
      <w:textAlignment w:val="top"/>
    </w:pPr>
    <w:rPr>
      <w:rFonts w:ascii="Times New Roman" w:hAnsi="Times New Roman"/>
      <w:sz w:val="18"/>
      <w:szCs w:val="18"/>
    </w:rPr>
  </w:style>
  <w:style w:type="paragraph" w:customStyle="1" w:styleId="xl71">
    <w:name w:val="xl71"/>
    <w:basedOn w:val="Normal"/>
    <w:rsid w:val="00B25AE2"/>
    <w:pPr>
      <w:numPr>
        <w:numId w:val="0"/>
      </w:numPr>
      <w:spacing w:before="100" w:beforeAutospacing="1" w:after="100" w:afterAutospacing="1"/>
      <w:textAlignment w:val="top"/>
    </w:pPr>
    <w:rPr>
      <w:rFonts w:ascii="Times New Roman" w:hAnsi="Times New Roman"/>
      <w:sz w:val="18"/>
      <w:szCs w:val="18"/>
    </w:rPr>
  </w:style>
  <w:style w:type="paragraph" w:customStyle="1" w:styleId="xl72">
    <w:name w:val="xl72"/>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hAnsi="Times New Roman"/>
      <w:sz w:val="18"/>
      <w:szCs w:val="18"/>
    </w:rPr>
  </w:style>
  <w:style w:type="paragraph" w:customStyle="1" w:styleId="xl73">
    <w:name w:val="xl73"/>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rFonts w:ascii="Times New Roman" w:hAnsi="Times New Roman"/>
      <w:sz w:val="18"/>
      <w:szCs w:val="18"/>
    </w:rPr>
  </w:style>
  <w:style w:type="paragraph" w:customStyle="1" w:styleId="xl74">
    <w:name w:val="xl74"/>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top"/>
    </w:pPr>
    <w:rPr>
      <w:rFonts w:ascii="Times New Roman" w:hAnsi="Times New Roman"/>
      <w:sz w:val="18"/>
      <w:szCs w:val="18"/>
    </w:rPr>
  </w:style>
  <w:style w:type="paragraph" w:customStyle="1" w:styleId="xl75">
    <w:name w:val="xl75"/>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Times New Roman" w:hAnsi="Times New Roman"/>
      <w:b/>
      <w:bCs/>
      <w:i/>
      <w:iCs/>
    </w:rPr>
  </w:style>
  <w:style w:type="paragraph" w:customStyle="1" w:styleId="xl76">
    <w:name w:val="xl76"/>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Times New Roman" w:hAnsi="Times New Roman"/>
      <w:b/>
      <w:bCs/>
      <w:sz w:val="28"/>
      <w:szCs w:val="28"/>
    </w:rPr>
  </w:style>
  <w:style w:type="paragraph" w:customStyle="1" w:styleId="xl77">
    <w:name w:val="xl77"/>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top"/>
    </w:pPr>
    <w:rPr>
      <w:rFonts w:ascii="Times New Roman" w:hAnsi="Times New Roman"/>
      <w:sz w:val="18"/>
      <w:szCs w:val="18"/>
    </w:rPr>
  </w:style>
  <w:style w:type="paragraph" w:customStyle="1" w:styleId="xl78">
    <w:name w:val="xl78"/>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hAnsi="Times New Roman"/>
      <w:sz w:val="18"/>
      <w:szCs w:val="18"/>
    </w:rPr>
  </w:style>
  <w:style w:type="paragraph" w:customStyle="1" w:styleId="xl79">
    <w:name w:val="xl79"/>
    <w:basedOn w:val="Normal"/>
    <w:rsid w:val="00B25AE2"/>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rFonts w:ascii="Times New Roman" w:hAnsi="Times New Roman"/>
      <w:sz w:val="18"/>
      <w:szCs w:val="18"/>
    </w:rPr>
  </w:style>
  <w:style w:type="paragraph" w:customStyle="1" w:styleId="xl80">
    <w:name w:val="xl80"/>
    <w:basedOn w:val="Normal"/>
    <w:rsid w:val="00B25AE2"/>
    <w:pPr>
      <w:numPr>
        <w:numId w:val="0"/>
      </w:numPr>
      <w:pBdr>
        <w:top w:val="single" w:sz="4" w:space="0" w:color="auto"/>
        <w:left w:val="single" w:sz="4" w:space="0" w:color="auto"/>
        <w:right w:val="single" w:sz="4" w:space="0" w:color="auto"/>
      </w:pBdr>
      <w:shd w:val="clear" w:color="000000" w:fill="FFF2CC"/>
      <w:spacing w:before="100" w:beforeAutospacing="1" w:after="100" w:afterAutospacing="1"/>
      <w:textAlignment w:val="top"/>
    </w:pPr>
    <w:rPr>
      <w:rFonts w:ascii="Times New Roman" w:hAnsi="Times New Roman"/>
      <w:sz w:val="18"/>
      <w:szCs w:val="18"/>
    </w:rPr>
  </w:style>
  <w:style w:type="paragraph" w:customStyle="1" w:styleId="xl81">
    <w:name w:val="xl81"/>
    <w:basedOn w:val="Normal"/>
    <w:rsid w:val="00B25AE2"/>
    <w:pPr>
      <w:numPr>
        <w:numId w:val="0"/>
      </w:numPr>
      <w:pBdr>
        <w:left w:val="single" w:sz="4" w:space="0" w:color="auto"/>
        <w:right w:val="single" w:sz="4" w:space="0" w:color="auto"/>
      </w:pBdr>
      <w:shd w:val="clear" w:color="000000" w:fill="FFF2CC"/>
      <w:spacing w:before="100" w:beforeAutospacing="1" w:after="100" w:afterAutospacing="1"/>
      <w:textAlignment w:val="top"/>
    </w:pPr>
    <w:rPr>
      <w:rFonts w:ascii="Times New Roman" w:hAnsi="Times New Roman"/>
      <w:sz w:val="18"/>
      <w:szCs w:val="18"/>
    </w:rPr>
  </w:style>
  <w:style w:type="paragraph" w:customStyle="1" w:styleId="xl82">
    <w:name w:val="xl82"/>
    <w:basedOn w:val="Normal"/>
    <w:rsid w:val="00B25AE2"/>
    <w:pPr>
      <w:numPr>
        <w:numId w:val="0"/>
      </w:numPr>
      <w:pBdr>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hAnsi="Times New Roman"/>
      <w:sz w:val="18"/>
      <w:szCs w:val="18"/>
    </w:rPr>
  </w:style>
  <w:style w:type="character" w:customStyle="1" w:styleId="contentpasted0">
    <w:name w:val="contentpasted0"/>
    <w:basedOn w:val="DefaultParagraphFont"/>
    <w:rsid w:val="007B422D"/>
  </w:style>
  <w:style w:type="character" w:customStyle="1" w:styleId="eop">
    <w:name w:val="eop"/>
    <w:basedOn w:val="DefaultParagraphFont"/>
    <w:rsid w:val="00437C73"/>
  </w:style>
  <w:style w:type="paragraph" w:styleId="FootnoteText">
    <w:name w:val="footnote text"/>
    <w:basedOn w:val="Normal"/>
    <w:link w:val="FootnoteTextChar"/>
    <w:unhideWhenUsed/>
    <w:rsid w:val="00437C73"/>
    <w:pPr>
      <w:numPr>
        <w:numId w:val="0"/>
      </w:numPr>
      <w:spacing w:before="0"/>
    </w:pPr>
    <w:rPr>
      <w:sz w:val="20"/>
      <w:szCs w:val="20"/>
    </w:rPr>
  </w:style>
  <w:style w:type="character" w:customStyle="1" w:styleId="FootnoteTextChar">
    <w:name w:val="Footnote Text Char"/>
    <w:basedOn w:val="DefaultParagraphFont"/>
    <w:link w:val="FootnoteText"/>
    <w:rsid w:val="00437C73"/>
    <w:rPr>
      <w:sz w:val="20"/>
      <w:szCs w:val="20"/>
    </w:rPr>
  </w:style>
  <w:style w:type="character" w:styleId="FootnoteReference">
    <w:name w:val="footnote reference"/>
    <w:basedOn w:val="DefaultParagraphFont"/>
    <w:semiHidden/>
    <w:unhideWhenUsed/>
    <w:rsid w:val="00437C73"/>
    <w:rPr>
      <w:vertAlign w:val="superscript"/>
    </w:rPr>
  </w:style>
  <w:style w:type="character" w:customStyle="1" w:styleId="xcontentpasted0">
    <w:name w:val="x_contentpasted0"/>
    <w:basedOn w:val="DefaultParagraphFont"/>
    <w:rsid w:val="002A5D45"/>
  </w:style>
  <w:style w:type="character" w:customStyle="1" w:styleId="normaltextrun">
    <w:name w:val="normaltextrun"/>
    <w:basedOn w:val="DefaultParagraphFont"/>
    <w:rsid w:val="002A5D45"/>
  </w:style>
  <w:style w:type="paragraph" w:customStyle="1" w:styleId="paragraph">
    <w:name w:val="paragraph"/>
    <w:basedOn w:val="Normal"/>
    <w:rsid w:val="002A5D45"/>
    <w:pPr>
      <w:numPr>
        <w:numId w:val="0"/>
      </w:numPr>
      <w:spacing w:before="100" w:beforeAutospacing="1" w:after="100" w:afterAutospacing="1"/>
    </w:pPr>
    <w:rPr>
      <w:rFonts w:ascii="Times New Roman" w:hAnsi="Times New Roman"/>
    </w:rPr>
  </w:style>
  <w:style w:type="paragraph" w:customStyle="1" w:styleId="xpagesubheading">
    <w:name w:val="x_pagesubheading"/>
    <w:basedOn w:val="Normal"/>
    <w:rsid w:val="002A5D45"/>
    <w:pPr>
      <w:numPr>
        <w:numId w:val="0"/>
      </w:numPr>
      <w:spacing w:before="100" w:beforeAutospacing="1" w:after="100" w:afterAutospacing="1"/>
    </w:pPr>
    <w:rPr>
      <w:rFonts w:ascii="Times New Roman" w:hAnsi="Times New Roman"/>
    </w:rPr>
  </w:style>
  <w:style w:type="paragraph" w:customStyle="1" w:styleId="xmsonormal">
    <w:name w:val="x_msonormal"/>
    <w:basedOn w:val="Normal"/>
    <w:rsid w:val="002A5D45"/>
    <w:pPr>
      <w:numPr>
        <w:numId w:val="0"/>
      </w:numPr>
      <w:spacing w:before="100" w:beforeAutospacing="1" w:after="100" w:afterAutospacing="1"/>
    </w:pPr>
    <w:rPr>
      <w:rFonts w:ascii="Times New Roman" w:hAnsi="Times New Roman"/>
    </w:rPr>
  </w:style>
  <w:style w:type="character" w:customStyle="1" w:styleId="xcontentpasted2">
    <w:name w:val="x_contentpasted2"/>
    <w:basedOn w:val="DefaultParagraphFont"/>
    <w:rsid w:val="002A5D45"/>
  </w:style>
  <w:style w:type="paragraph" w:styleId="Revision">
    <w:name w:val="Revision"/>
    <w:hidden/>
    <w:uiPriority w:val="99"/>
    <w:semiHidden/>
    <w:rsid w:val="007A6744"/>
  </w:style>
  <w:style w:type="paragraph" w:customStyle="1" w:styleId="font5">
    <w:name w:val="font5"/>
    <w:basedOn w:val="Normal"/>
    <w:rsid w:val="00346D85"/>
    <w:pPr>
      <w:numPr>
        <w:numId w:val="0"/>
      </w:numPr>
      <w:spacing w:before="100" w:beforeAutospacing="1" w:after="100" w:afterAutospacing="1"/>
    </w:pPr>
    <w:rPr>
      <w:rFonts w:ascii="Calibri" w:hAnsi="Calibri" w:cs="Calibri"/>
      <w:b/>
      <w:bCs/>
      <w:color w:val="000000"/>
    </w:rPr>
  </w:style>
  <w:style w:type="paragraph" w:customStyle="1" w:styleId="font6">
    <w:name w:val="font6"/>
    <w:basedOn w:val="Normal"/>
    <w:rsid w:val="00346D85"/>
    <w:pPr>
      <w:numPr>
        <w:numId w:val="0"/>
      </w:numPr>
      <w:spacing w:before="100" w:beforeAutospacing="1" w:after="100" w:afterAutospacing="1"/>
    </w:pPr>
    <w:rPr>
      <w:rFonts w:ascii="Calibri" w:hAnsi="Calibri" w:cs="Calibri"/>
    </w:rPr>
  </w:style>
  <w:style w:type="paragraph" w:customStyle="1" w:styleId="font7">
    <w:name w:val="font7"/>
    <w:basedOn w:val="Normal"/>
    <w:rsid w:val="00346D85"/>
    <w:pPr>
      <w:numPr>
        <w:numId w:val="0"/>
      </w:numPr>
      <w:spacing w:before="100" w:beforeAutospacing="1" w:after="100" w:afterAutospacing="1"/>
    </w:pPr>
    <w:rPr>
      <w:rFonts w:ascii="Calibri" w:hAnsi="Calibri" w:cs="Calibri"/>
      <w:color w:val="000000"/>
    </w:rPr>
  </w:style>
  <w:style w:type="paragraph" w:customStyle="1" w:styleId="font8">
    <w:name w:val="font8"/>
    <w:basedOn w:val="Normal"/>
    <w:rsid w:val="00346D85"/>
    <w:pPr>
      <w:numPr>
        <w:numId w:val="0"/>
      </w:numPr>
      <w:spacing w:before="100" w:beforeAutospacing="1" w:after="100" w:afterAutospacing="1"/>
    </w:pPr>
    <w:rPr>
      <w:rFonts w:ascii="Calibri" w:hAnsi="Calibri" w:cs="Calibri"/>
    </w:rPr>
  </w:style>
  <w:style w:type="paragraph" w:customStyle="1" w:styleId="font9">
    <w:name w:val="font9"/>
    <w:basedOn w:val="Normal"/>
    <w:rsid w:val="00346D85"/>
    <w:pPr>
      <w:numPr>
        <w:numId w:val="0"/>
      </w:numPr>
      <w:spacing w:before="100" w:beforeAutospacing="1" w:after="100" w:afterAutospacing="1"/>
    </w:pPr>
    <w:rPr>
      <w:rFonts w:ascii="Calibri" w:hAnsi="Calibri" w:cs="Calibri"/>
      <w:b/>
      <w:bCs/>
      <w:color w:val="FF0000"/>
    </w:rPr>
  </w:style>
  <w:style w:type="paragraph" w:customStyle="1" w:styleId="font10">
    <w:name w:val="font10"/>
    <w:basedOn w:val="Normal"/>
    <w:rsid w:val="00346D85"/>
    <w:pPr>
      <w:numPr>
        <w:numId w:val="0"/>
      </w:numPr>
      <w:spacing w:before="100" w:beforeAutospacing="1" w:after="100" w:afterAutospacing="1"/>
    </w:pPr>
    <w:rPr>
      <w:rFonts w:ascii="Calibri" w:hAnsi="Calibri" w:cs="Calibri"/>
      <w:color w:val="242424"/>
    </w:rPr>
  </w:style>
  <w:style w:type="paragraph" w:customStyle="1" w:styleId="xl83">
    <w:name w:val="xl83"/>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top"/>
    </w:pPr>
    <w:rPr>
      <w:rFonts w:ascii="Times New Roman" w:hAnsi="Times New Roman"/>
    </w:rPr>
  </w:style>
  <w:style w:type="paragraph" w:customStyle="1" w:styleId="xl84">
    <w:name w:val="xl84"/>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85">
    <w:name w:val="xl85"/>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textAlignment w:val="center"/>
    </w:pPr>
    <w:rPr>
      <w:rFonts w:ascii="Times New Roman" w:hAnsi="Times New Roman"/>
    </w:rPr>
  </w:style>
  <w:style w:type="paragraph" w:customStyle="1" w:styleId="xl86">
    <w:name w:val="xl86"/>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rPr>
  </w:style>
  <w:style w:type="paragraph" w:customStyle="1" w:styleId="xl87">
    <w:name w:val="xl87"/>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88">
    <w:name w:val="xl88"/>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89">
    <w:name w:val="xl89"/>
    <w:basedOn w:val="Normal"/>
    <w:rsid w:val="00346D85"/>
    <w:pPr>
      <w:numPr>
        <w:numId w:val="0"/>
      </w:num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rPr>
  </w:style>
  <w:style w:type="paragraph" w:customStyle="1" w:styleId="xl90">
    <w:name w:val="xl90"/>
    <w:basedOn w:val="Normal"/>
    <w:rsid w:val="00346D85"/>
    <w:pPr>
      <w:numPr>
        <w:numId w:val="0"/>
      </w:num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91">
    <w:name w:val="xl91"/>
    <w:basedOn w:val="Normal"/>
    <w:rsid w:val="00346D85"/>
    <w:pPr>
      <w:numPr>
        <w:numId w:val="0"/>
      </w:numPr>
      <w:pBdr>
        <w:top w:val="single" w:sz="4" w:space="0" w:color="auto"/>
        <w:left w:val="single" w:sz="8" w:space="0" w:color="auto"/>
        <w:bottom w:val="single" w:sz="4" w:space="0" w:color="auto"/>
        <w:right w:val="single" w:sz="4" w:space="0" w:color="auto"/>
      </w:pBdr>
      <w:shd w:val="clear" w:color="000000" w:fill="FFE699"/>
      <w:spacing w:before="100" w:beforeAutospacing="1" w:after="100" w:afterAutospacing="1"/>
      <w:textAlignment w:val="center"/>
    </w:pPr>
    <w:rPr>
      <w:rFonts w:ascii="Times New Roman" w:hAnsi="Times New Roman"/>
    </w:rPr>
  </w:style>
  <w:style w:type="paragraph" w:customStyle="1" w:styleId="xl92">
    <w:name w:val="xl92"/>
    <w:basedOn w:val="Normal"/>
    <w:rsid w:val="00346D85"/>
    <w:pPr>
      <w:numPr>
        <w:numId w:val="0"/>
      </w:numPr>
      <w:pBdr>
        <w:top w:val="single" w:sz="4" w:space="0" w:color="auto"/>
        <w:left w:val="single" w:sz="8" w:space="0" w:color="auto"/>
        <w:bottom w:val="single" w:sz="8" w:space="0" w:color="auto"/>
        <w:right w:val="single" w:sz="4" w:space="0" w:color="auto"/>
      </w:pBdr>
      <w:shd w:val="clear" w:color="000000" w:fill="FFF2CC"/>
      <w:spacing w:before="100" w:beforeAutospacing="1" w:after="100" w:afterAutospacing="1"/>
      <w:textAlignment w:val="center"/>
    </w:pPr>
    <w:rPr>
      <w:rFonts w:ascii="Times New Roman" w:hAnsi="Times New Roman"/>
    </w:rPr>
  </w:style>
  <w:style w:type="paragraph" w:customStyle="1" w:styleId="xl93">
    <w:name w:val="xl93"/>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textAlignment w:val="top"/>
    </w:pPr>
    <w:rPr>
      <w:rFonts w:ascii="Times New Roman" w:hAnsi="Times New Roman"/>
    </w:rPr>
  </w:style>
  <w:style w:type="paragraph" w:customStyle="1" w:styleId="xl94">
    <w:name w:val="xl94"/>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textAlignment w:val="top"/>
    </w:pPr>
    <w:rPr>
      <w:rFonts w:ascii="Times New Roman" w:hAnsi="Times New Roman"/>
    </w:rPr>
  </w:style>
  <w:style w:type="paragraph" w:customStyle="1" w:styleId="xl95">
    <w:name w:val="xl95"/>
    <w:basedOn w:val="Normal"/>
    <w:rsid w:val="00346D85"/>
    <w:pPr>
      <w:numPr>
        <w:numId w:val="0"/>
      </w:num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96">
    <w:name w:val="xl96"/>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rPr>
  </w:style>
  <w:style w:type="paragraph" w:customStyle="1" w:styleId="xl97">
    <w:name w:val="xl97"/>
    <w:basedOn w:val="Normal"/>
    <w:rsid w:val="00346D85"/>
    <w:pPr>
      <w:numPr>
        <w:numId w:val="0"/>
      </w:num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rPr>
  </w:style>
  <w:style w:type="paragraph" w:customStyle="1" w:styleId="xl98">
    <w:name w:val="xl98"/>
    <w:basedOn w:val="Normal"/>
    <w:rsid w:val="00346D85"/>
    <w:pPr>
      <w:numPr>
        <w:numId w:val="0"/>
      </w:num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Times New Roman" w:hAnsi="Times New Roman"/>
      <w:b/>
      <w:bCs/>
    </w:rPr>
  </w:style>
  <w:style w:type="paragraph" w:customStyle="1" w:styleId="xl99">
    <w:name w:val="xl99"/>
    <w:basedOn w:val="Normal"/>
    <w:rsid w:val="00346D85"/>
    <w:pPr>
      <w:numPr>
        <w:numId w:val="0"/>
      </w:num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hAnsi="Times New Roman"/>
    </w:rPr>
  </w:style>
  <w:style w:type="paragraph" w:customStyle="1" w:styleId="xl100">
    <w:name w:val="xl100"/>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b/>
      <w:bCs/>
    </w:rPr>
  </w:style>
  <w:style w:type="paragraph" w:customStyle="1" w:styleId="xl101">
    <w:name w:val="xl101"/>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hAnsi="Times New Roman"/>
    </w:rPr>
  </w:style>
  <w:style w:type="paragraph" w:customStyle="1" w:styleId="xl102">
    <w:name w:val="xl102"/>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Times New Roman" w:hAnsi="Times New Roman"/>
      <w:b/>
      <w:bCs/>
    </w:rPr>
  </w:style>
  <w:style w:type="paragraph" w:customStyle="1" w:styleId="xl103">
    <w:name w:val="xl103"/>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Times New Roman" w:hAnsi="Times New Roman"/>
    </w:rPr>
  </w:style>
  <w:style w:type="paragraph" w:customStyle="1" w:styleId="xl104">
    <w:name w:val="xl104"/>
    <w:basedOn w:val="Normal"/>
    <w:rsid w:val="00346D85"/>
    <w:pPr>
      <w:numPr>
        <w:numId w:val="0"/>
      </w:num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textAlignment w:val="center"/>
    </w:pPr>
    <w:rPr>
      <w:rFonts w:ascii="Times New Roman" w:hAnsi="Times New Roman"/>
      <w:b/>
      <w:bCs/>
    </w:rPr>
  </w:style>
  <w:style w:type="paragraph" w:customStyle="1" w:styleId="xl105">
    <w:name w:val="xl105"/>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textAlignment w:val="center"/>
    </w:pPr>
    <w:rPr>
      <w:rFonts w:ascii="Times New Roman" w:hAnsi="Times New Roman"/>
      <w:b/>
      <w:bCs/>
    </w:rPr>
  </w:style>
  <w:style w:type="paragraph" w:customStyle="1" w:styleId="xl106">
    <w:name w:val="xl106"/>
    <w:basedOn w:val="Normal"/>
    <w:rsid w:val="00346D85"/>
    <w:pPr>
      <w:numPr>
        <w:numId w:val="0"/>
      </w:num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textAlignment w:val="center"/>
    </w:pPr>
    <w:rPr>
      <w:rFonts w:ascii="Times New Roman" w:hAnsi="Times New Roman"/>
    </w:rPr>
  </w:style>
  <w:style w:type="paragraph" w:customStyle="1" w:styleId="xl107">
    <w:name w:val="xl107"/>
    <w:basedOn w:val="Normal"/>
    <w:rsid w:val="00346D85"/>
    <w:pPr>
      <w:numPr>
        <w:numId w:val="0"/>
      </w:numPr>
      <w:spacing w:before="100" w:beforeAutospacing="1" w:after="100" w:afterAutospacing="1"/>
      <w:textAlignment w:val="center"/>
    </w:pPr>
    <w:rPr>
      <w:rFonts w:ascii="Times New Roman" w:hAnsi="Times New Roman"/>
    </w:rPr>
  </w:style>
  <w:style w:type="paragraph" w:customStyle="1" w:styleId="xl108">
    <w:name w:val="xl108"/>
    <w:basedOn w:val="Normal"/>
    <w:rsid w:val="00346D85"/>
    <w:pPr>
      <w:numPr>
        <w:numId w:val="0"/>
      </w:num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rPr>
  </w:style>
  <w:style w:type="paragraph" w:customStyle="1" w:styleId="xl109">
    <w:name w:val="xl109"/>
    <w:basedOn w:val="Normal"/>
    <w:rsid w:val="00346D85"/>
    <w:pPr>
      <w:numPr>
        <w:numId w:val="0"/>
      </w:num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0">
    <w:name w:val="xl110"/>
    <w:basedOn w:val="Normal"/>
    <w:rsid w:val="00346D85"/>
    <w:pPr>
      <w:numPr>
        <w:numId w:val="0"/>
      </w:num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111">
    <w:name w:val="xl111"/>
    <w:basedOn w:val="Normal"/>
    <w:rsid w:val="00346D85"/>
    <w:pPr>
      <w:numPr>
        <w:numId w:val="0"/>
      </w:numPr>
      <w:pBdr>
        <w:top w:val="single" w:sz="4" w:space="0" w:color="auto"/>
        <w:left w:val="single" w:sz="8"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12">
    <w:name w:val="xl112"/>
    <w:basedOn w:val="Normal"/>
    <w:rsid w:val="00346D85"/>
    <w:pPr>
      <w:numPr>
        <w:numId w:val="0"/>
      </w:numPr>
      <w:pBdr>
        <w:left w:val="single" w:sz="8"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13">
    <w:name w:val="xl113"/>
    <w:basedOn w:val="Normal"/>
    <w:rsid w:val="00346D85"/>
    <w:pPr>
      <w:numPr>
        <w:numId w:val="0"/>
      </w:numPr>
      <w:pBdr>
        <w:left w:val="single" w:sz="8"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14">
    <w:name w:val="xl114"/>
    <w:basedOn w:val="Normal"/>
    <w:rsid w:val="00346D85"/>
    <w:pPr>
      <w:numPr>
        <w:numId w:val="0"/>
      </w:num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rPr>
  </w:style>
  <w:style w:type="paragraph" w:customStyle="1" w:styleId="xl115">
    <w:name w:val="xl115"/>
    <w:basedOn w:val="Normal"/>
    <w:rsid w:val="00346D85"/>
    <w:pPr>
      <w:numPr>
        <w:numId w:val="0"/>
      </w:numPr>
      <w:pBdr>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rPr>
  </w:style>
  <w:style w:type="paragraph" w:customStyle="1" w:styleId="xl116">
    <w:name w:val="xl116"/>
    <w:basedOn w:val="Normal"/>
    <w:rsid w:val="00346D85"/>
    <w:pPr>
      <w:numPr>
        <w:numId w:val="0"/>
      </w:num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b/>
      <w:bCs/>
    </w:rPr>
  </w:style>
  <w:style w:type="paragraph" w:customStyle="1" w:styleId="xl117">
    <w:name w:val="xl117"/>
    <w:basedOn w:val="Normal"/>
    <w:rsid w:val="00346D85"/>
    <w:pPr>
      <w:numPr>
        <w:numId w:val="0"/>
      </w:num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18">
    <w:name w:val="xl118"/>
    <w:basedOn w:val="Normal"/>
    <w:rsid w:val="00346D85"/>
    <w:pPr>
      <w:numPr>
        <w:numId w:val="0"/>
      </w:numPr>
      <w:pBdr>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19">
    <w:name w:val="xl119"/>
    <w:basedOn w:val="Normal"/>
    <w:rsid w:val="00346D85"/>
    <w:pPr>
      <w:numPr>
        <w:numId w:val="0"/>
      </w:num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20">
    <w:name w:val="xl120"/>
    <w:basedOn w:val="Normal"/>
    <w:rsid w:val="00346D85"/>
    <w:pPr>
      <w:numPr>
        <w:numId w:val="0"/>
      </w:num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21">
    <w:name w:val="xl121"/>
    <w:basedOn w:val="Normal"/>
    <w:rsid w:val="00346D85"/>
    <w:pPr>
      <w:numPr>
        <w:numId w:val="0"/>
      </w:numPr>
      <w:pBdr>
        <w:left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22">
    <w:name w:val="xl122"/>
    <w:basedOn w:val="Normal"/>
    <w:rsid w:val="00346D85"/>
    <w:pPr>
      <w:numPr>
        <w:numId w:val="0"/>
      </w:numPr>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hAnsi="Times New Roman"/>
    </w:rPr>
  </w:style>
  <w:style w:type="paragraph" w:customStyle="1" w:styleId="xl123">
    <w:name w:val="xl123"/>
    <w:basedOn w:val="Normal"/>
    <w:rsid w:val="00346D85"/>
    <w:pPr>
      <w:numPr>
        <w:numId w:val="0"/>
      </w:numPr>
      <w:pBdr>
        <w:top w:val="single" w:sz="4" w:space="0" w:color="auto"/>
        <w:left w:val="single" w:sz="8"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24">
    <w:name w:val="xl124"/>
    <w:basedOn w:val="Normal"/>
    <w:rsid w:val="00346D85"/>
    <w:pPr>
      <w:numPr>
        <w:numId w:val="0"/>
      </w:numPr>
      <w:pBdr>
        <w:left w:val="single" w:sz="8"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25">
    <w:name w:val="xl125"/>
    <w:basedOn w:val="Normal"/>
    <w:rsid w:val="00346D85"/>
    <w:pPr>
      <w:numPr>
        <w:numId w:val="0"/>
      </w:numPr>
      <w:pBdr>
        <w:top w:val="single" w:sz="4" w:space="0" w:color="auto"/>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rPr>
  </w:style>
  <w:style w:type="paragraph" w:customStyle="1" w:styleId="xl126">
    <w:name w:val="xl126"/>
    <w:basedOn w:val="Normal"/>
    <w:rsid w:val="00346D85"/>
    <w:pPr>
      <w:numPr>
        <w:numId w:val="0"/>
      </w:num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rPr>
  </w:style>
  <w:style w:type="paragraph" w:customStyle="1" w:styleId="xl127">
    <w:name w:val="xl127"/>
    <w:basedOn w:val="Normal"/>
    <w:rsid w:val="00346D85"/>
    <w:pPr>
      <w:numPr>
        <w:numId w:val="0"/>
      </w:numPr>
      <w:pBdr>
        <w:top w:val="single" w:sz="4" w:space="0" w:color="auto"/>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28">
    <w:name w:val="xl128"/>
    <w:basedOn w:val="Normal"/>
    <w:rsid w:val="00346D85"/>
    <w:pPr>
      <w:numPr>
        <w:numId w:val="0"/>
      </w:num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29">
    <w:name w:val="xl129"/>
    <w:basedOn w:val="Normal"/>
    <w:rsid w:val="00346D85"/>
    <w:pPr>
      <w:numPr>
        <w:numId w:val="0"/>
      </w:numPr>
      <w:pBdr>
        <w:top w:val="single" w:sz="4" w:space="0" w:color="auto"/>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30">
    <w:name w:val="xl130"/>
    <w:basedOn w:val="Normal"/>
    <w:rsid w:val="00346D85"/>
    <w:pPr>
      <w:numPr>
        <w:numId w:val="0"/>
      </w:numPr>
      <w:pBdr>
        <w:left w:val="single" w:sz="4" w:space="0" w:color="auto"/>
        <w:bottom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31">
    <w:name w:val="xl131"/>
    <w:basedOn w:val="Normal"/>
    <w:rsid w:val="00346D85"/>
    <w:pPr>
      <w:numPr>
        <w:numId w:val="0"/>
      </w:numPr>
      <w:pBdr>
        <w:left w:val="single" w:sz="8"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32">
    <w:name w:val="xl132"/>
    <w:basedOn w:val="Normal"/>
    <w:rsid w:val="00346D85"/>
    <w:pPr>
      <w:numPr>
        <w:numId w:val="0"/>
      </w:numPr>
      <w:pBdr>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b/>
      <w:bCs/>
    </w:rPr>
  </w:style>
  <w:style w:type="paragraph" w:customStyle="1" w:styleId="xl133">
    <w:name w:val="xl133"/>
    <w:basedOn w:val="Normal"/>
    <w:rsid w:val="00346D85"/>
    <w:pPr>
      <w:numPr>
        <w:numId w:val="0"/>
      </w:numPr>
      <w:pBdr>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34">
    <w:name w:val="xl134"/>
    <w:basedOn w:val="Normal"/>
    <w:rsid w:val="00346D85"/>
    <w:pPr>
      <w:numPr>
        <w:numId w:val="0"/>
      </w:numPr>
      <w:pBdr>
        <w:left w:val="single" w:sz="4" w:space="0" w:color="auto"/>
        <w:right w:val="single" w:sz="4" w:space="0" w:color="auto"/>
      </w:pBdr>
      <w:shd w:val="clear" w:color="000000" w:fill="FFE699"/>
      <w:spacing w:before="100" w:beforeAutospacing="1" w:after="100" w:afterAutospacing="1"/>
      <w:jc w:val="center"/>
      <w:textAlignment w:val="center"/>
    </w:pPr>
    <w:rPr>
      <w:rFonts w:ascii="Times New Roman" w:hAnsi="Times New Roman"/>
    </w:rPr>
  </w:style>
  <w:style w:type="paragraph" w:customStyle="1" w:styleId="xl135">
    <w:name w:val="xl135"/>
    <w:basedOn w:val="Normal"/>
    <w:rsid w:val="00346D85"/>
    <w:pPr>
      <w:numPr>
        <w:numId w:val="0"/>
      </w:numPr>
      <w:spacing w:before="100" w:beforeAutospacing="1" w:after="100" w:afterAutospacing="1"/>
    </w:pPr>
    <w:rPr>
      <w:rFonts w:ascii="Times New Roman" w:hAnsi="Times New Roman"/>
      <w:color w:val="000000"/>
    </w:rPr>
  </w:style>
  <w:style w:type="table" w:styleId="ListTable3-Accent3">
    <w:name w:val="List Table 3 Accent 3"/>
    <w:basedOn w:val="TableNormal"/>
    <w:uiPriority w:val="48"/>
    <w:rsid w:val="00D24DE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UnresolvedMention">
    <w:name w:val="Unresolved Mention"/>
    <w:basedOn w:val="DefaultParagraphFont"/>
    <w:uiPriority w:val="99"/>
    <w:semiHidden/>
    <w:unhideWhenUsed/>
    <w:rsid w:val="008700BA"/>
    <w:rPr>
      <w:color w:val="605E5C"/>
      <w:shd w:val="clear" w:color="auto" w:fill="E1DFDD"/>
    </w:rPr>
  </w:style>
  <w:style w:type="character" w:styleId="Mention">
    <w:name w:val="Mention"/>
    <w:basedOn w:val="DefaultParagraphFont"/>
    <w:uiPriority w:val="99"/>
    <w:unhideWhenUsed/>
    <w:rsid w:val="00455A33"/>
    <w:rPr>
      <w:color w:val="2B579A"/>
      <w:shd w:val="clear" w:color="auto" w:fill="E1DFDD"/>
    </w:rPr>
  </w:style>
  <w:style w:type="paragraph" w:customStyle="1" w:styleId="xxmsonormal">
    <w:name w:val="x_xmsonormal"/>
    <w:basedOn w:val="Normal"/>
    <w:rsid w:val="009D43B8"/>
    <w:pPr>
      <w:numPr>
        <w:numId w:val="0"/>
      </w:num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9528">
      <w:bodyDiv w:val="1"/>
      <w:marLeft w:val="0"/>
      <w:marRight w:val="0"/>
      <w:marTop w:val="0"/>
      <w:marBottom w:val="0"/>
      <w:divBdr>
        <w:top w:val="none" w:sz="0" w:space="0" w:color="auto"/>
        <w:left w:val="none" w:sz="0" w:space="0" w:color="auto"/>
        <w:bottom w:val="none" w:sz="0" w:space="0" w:color="auto"/>
        <w:right w:val="none" w:sz="0" w:space="0" w:color="auto"/>
      </w:divBdr>
    </w:div>
    <w:div w:id="38943846">
      <w:bodyDiv w:val="1"/>
      <w:marLeft w:val="0"/>
      <w:marRight w:val="0"/>
      <w:marTop w:val="0"/>
      <w:marBottom w:val="0"/>
      <w:divBdr>
        <w:top w:val="none" w:sz="0" w:space="0" w:color="auto"/>
        <w:left w:val="none" w:sz="0" w:space="0" w:color="auto"/>
        <w:bottom w:val="none" w:sz="0" w:space="0" w:color="auto"/>
        <w:right w:val="none" w:sz="0" w:space="0" w:color="auto"/>
      </w:divBdr>
    </w:div>
    <w:div w:id="59601798">
      <w:bodyDiv w:val="1"/>
      <w:marLeft w:val="0"/>
      <w:marRight w:val="0"/>
      <w:marTop w:val="0"/>
      <w:marBottom w:val="0"/>
      <w:divBdr>
        <w:top w:val="none" w:sz="0" w:space="0" w:color="auto"/>
        <w:left w:val="none" w:sz="0" w:space="0" w:color="auto"/>
        <w:bottom w:val="none" w:sz="0" w:space="0" w:color="auto"/>
        <w:right w:val="none" w:sz="0" w:space="0" w:color="auto"/>
      </w:divBdr>
    </w:div>
    <w:div w:id="93981055">
      <w:bodyDiv w:val="1"/>
      <w:marLeft w:val="0"/>
      <w:marRight w:val="0"/>
      <w:marTop w:val="0"/>
      <w:marBottom w:val="0"/>
      <w:divBdr>
        <w:top w:val="none" w:sz="0" w:space="0" w:color="auto"/>
        <w:left w:val="none" w:sz="0" w:space="0" w:color="auto"/>
        <w:bottom w:val="none" w:sz="0" w:space="0" w:color="auto"/>
        <w:right w:val="none" w:sz="0" w:space="0" w:color="auto"/>
      </w:divBdr>
    </w:div>
    <w:div w:id="97918788">
      <w:bodyDiv w:val="1"/>
      <w:marLeft w:val="0"/>
      <w:marRight w:val="0"/>
      <w:marTop w:val="0"/>
      <w:marBottom w:val="0"/>
      <w:divBdr>
        <w:top w:val="none" w:sz="0" w:space="0" w:color="auto"/>
        <w:left w:val="none" w:sz="0" w:space="0" w:color="auto"/>
        <w:bottom w:val="none" w:sz="0" w:space="0" w:color="auto"/>
        <w:right w:val="none" w:sz="0" w:space="0" w:color="auto"/>
      </w:divBdr>
    </w:div>
    <w:div w:id="112944244">
      <w:bodyDiv w:val="1"/>
      <w:marLeft w:val="0"/>
      <w:marRight w:val="0"/>
      <w:marTop w:val="0"/>
      <w:marBottom w:val="0"/>
      <w:divBdr>
        <w:top w:val="none" w:sz="0" w:space="0" w:color="auto"/>
        <w:left w:val="none" w:sz="0" w:space="0" w:color="auto"/>
        <w:bottom w:val="none" w:sz="0" w:space="0" w:color="auto"/>
        <w:right w:val="none" w:sz="0" w:space="0" w:color="auto"/>
      </w:divBdr>
    </w:div>
    <w:div w:id="119305106">
      <w:bodyDiv w:val="1"/>
      <w:marLeft w:val="0"/>
      <w:marRight w:val="0"/>
      <w:marTop w:val="0"/>
      <w:marBottom w:val="0"/>
      <w:divBdr>
        <w:top w:val="none" w:sz="0" w:space="0" w:color="auto"/>
        <w:left w:val="none" w:sz="0" w:space="0" w:color="auto"/>
        <w:bottom w:val="none" w:sz="0" w:space="0" w:color="auto"/>
        <w:right w:val="none" w:sz="0" w:space="0" w:color="auto"/>
      </w:divBdr>
    </w:div>
    <w:div w:id="151261993">
      <w:bodyDiv w:val="1"/>
      <w:marLeft w:val="0"/>
      <w:marRight w:val="0"/>
      <w:marTop w:val="0"/>
      <w:marBottom w:val="0"/>
      <w:divBdr>
        <w:top w:val="none" w:sz="0" w:space="0" w:color="auto"/>
        <w:left w:val="none" w:sz="0" w:space="0" w:color="auto"/>
        <w:bottom w:val="none" w:sz="0" w:space="0" w:color="auto"/>
        <w:right w:val="none" w:sz="0" w:space="0" w:color="auto"/>
      </w:divBdr>
    </w:div>
    <w:div w:id="259484987">
      <w:bodyDiv w:val="1"/>
      <w:marLeft w:val="0"/>
      <w:marRight w:val="0"/>
      <w:marTop w:val="0"/>
      <w:marBottom w:val="0"/>
      <w:divBdr>
        <w:top w:val="none" w:sz="0" w:space="0" w:color="auto"/>
        <w:left w:val="none" w:sz="0" w:space="0" w:color="auto"/>
        <w:bottom w:val="none" w:sz="0" w:space="0" w:color="auto"/>
        <w:right w:val="none" w:sz="0" w:space="0" w:color="auto"/>
      </w:divBdr>
    </w:div>
    <w:div w:id="325213402">
      <w:bodyDiv w:val="1"/>
      <w:marLeft w:val="0"/>
      <w:marRight w:val="0"/>
      <w:marTop w:val="0"/>
      <w:marBottom w:val="0"/>
      <w:divBdr>
        <w:top w:val="none" w:sz="0" w:space="0" w:color="auto"/>
        <w:left w:val="none" w:sz="0" w:space="0" w:color="auto"/>
        <w:bottom w:val="none" w:sz="0" w:space="0" w:color="auto"/>
        <w:right w:val="none" w:sz="0" w:space="0" w:color="auto"/>
      </w:divBdr>
    </w:div>
    <w:div w:id="366570758">
      <w:bodyDiv w:val="1"/>
      <w:marLeft w:val="0"/>
      <w:marRight w:val="0"/>
      <w:marTop w:val="0"/>
      <w:marBottom w:val="0"/>
      <w:divBdr>
        <w:top w:val="none" w:sz="0" w:space="0" w:color="auto"/>
        <w:left w:val="none" w:sz="0" w:space="0" w:color="auto"/>
        <w:bottom w:val="none" w:sz="0" w:space="0" w:color="auto"/>
        <w:right w:val="none" w:sz="0" w:space="0" w:color="auto"/>
      </w:divBdr>
    </w:div>
    <w:div w:id="439879372">
      <w:bodyDiv w:val="1"/>
      <w:marLeft w:val="0"/>
      <w:marRight w:val="0"/>
      <w:marTop w:val="0"/>
      <w:marBottom w:val="0"/>
      <w:divBdr>
        <w:top w:val="none" w:sz="0" w:space="0" w:color="auto"/>
        <w:left w:val="none" w:sz="0" w:space="0" w:color="auto"/>
        <w:bottom w:val="none" w:sz="0" w:space="0" w:color="auto"/>
        <w:right w:val="none" w:sz="0" w:space="0" w:color="auto"/>
      </w:divBdr>
    </w:div>
    <w:div w:id="577597109">
      <w:bodyDiv w:val="1"/>
      <w:marLeft w:val="0"/>
      <w:marRight w:val="0"/>
      <w:marTop w:val="0"/>
      <w:marBottom w:val="0"/>
      <w:divBdr>
        <w:top w:val="none" w:sz="0" w:space="0" w:color="auto"/>
        <w:left w:val="none" w:sz="0" w:space="0" w:color="auto"/>
        <w:bottom w:val="none" w:sz="0" w:space="0" w:color="auto"/>
        <w:right w:val="none" w:sz="0" w:space="0" w:color="auto"/>
      </w:divBdr>
    </w:div>
    <w:div w:id="632713196">
      <w:bodyDiv w:val="1"/>
      <w:marLeft w:val="0"/>
      <w:marRight w:val="0"/>
      <w:marTop w:val="0"/>
      <w:marBottom w:val="0"/>
      <w:divBdr>
        <w:top w:val="none" w:sz="0" w:space="0" w:color="auto"/>
        <w:left w:val="none" w:sz="0" w:space="0" w:color="auto"/>
        <w:bottom w:val="none" w:sz="0" w:space="0" w:color="auto"/>
        <w:right w:val="none" w:sz="0" w:space="0" w:color="auto"/>
      </w:divBdr>
    </w:div>
    <w:div w:id="658122241">
      <w:bodyDiv w:val="1"/>
      <w:marLeft w:val="0"/>
      <w:marRight w:val="0"/>
      <w:marTop w:val="0"/>
      <w:marBottom w:val="0"/>
      <w:divBdr>
        <w:top w:val="none" w:sz="0" w:space="0" w:color="auto"/>
        <w:left w:val="none" w:sz="0" w:space="0" w:color="auto"/>
        <w:bottom w:val="none" w:sz="0" w:space="0" w:color="auto"/>
        <w:right w:val="none" w:sz="0" w:space="0" w:color="auto"/>
      </w:divBdr>
    </w:div>
    <w:div w:id="659845305">
      <w:bodyDiv w:val="1"/>
      <w:marLeft w:val="0"/>
      <w:marRight w:val="0"/>
      <w:marTop w:val="0"/>
      <w:marBottom w:val="0"/>
      <w:divBdr>
        <w:top w:val="none" w:sz="0" w:space="0" w:color="auto"/>
        <w:left w:val="none" w:sz="0" w:space="0" w:color="auto"/>
        <w:bottom w:val="none" w:sz="0" w:space="0" w:color="auto"/>
        <w:right w:val="none" w:sz="0" w:space="0" w:color="auto"/>
      </w:divBdr>
    </w:div>
    <w:div w:id="690886273">
      <w:bodyDiv w:val="1"/>
      <w:marLeft w:val="0"/>
      <w:marRight w:val="0"/>
      <w:marTop w:val="0"/>
      <w:marBottom w:val="0"/>
      <w:divBdr>
        <w:top w:val="none" w:sz="0" w:space="0" w:color="auto"/>
        <w:left w:val="none" w:sz="0" w:space="0" w:color="auto"/>
        <w:bottom w:val="none" w:sz="0" w:space="0" w:color="auto"/>
        <w:right w:val="none" w:sz="0" w:space="0" w:color="auto"/>
      </w:divBdr>
    </w:div>
    <w:div w:id="708337133">
      <w:bodyDiv w:val="1"/>
      <w:marLeft w:val="0"/>
      <w:marRight w:val="0"/>
      <w:marTop w:val="0"/>
      <w:marBottom w:val="0"/>
      <w:divBdr>
        <w:top w:val="none" w:sz="0" w:space="0" w:color="auto"/>
        <w:left w:val="none" w:sz="0" w:space="0" w:color="auto"/>
        <w:bottom w:val="none" w:sz="0" w:space="0" w:color="auto"/>
        <w:right w:val="none" w:sz="0" w:space="0" w:color="auto"/>
      </w:divBdr>
    </w:div>
    <w:div w:id="748502904">
      <w:bodyDiv w:val="1"/>
      <w:marLeft w:val="0"/>
      <w:marRight w:val="0"/>
      <w:marTop w:val="0"/>
      <w:marBottom w:val="0"/>
      <w:divBdr>
        <w:top w:val="none" w:sz="0" w:space="0" w:color="auto"/>
        <w:left w:val="none" w:sz="0" w:space="0" w:color="auto"/>
        <w:bottom w:val="none" w:sz="0" w:space="0" w:color="auto"/>
        <w:right w:val="none" w:sz="0" w:space="0" w:color="auto"/>
      </w:divBdr>
    </w:div>
    <w:div w:id="778599715">
      <w:bodyDiv w:val="1"/>
      <w:marLeft w:val="0"/>
      <w:marRight w:val="0"/>
      <w:marTop w:val="0"/>
      <w:marBottom w:val="0"/>
      <w:divBdr>
        <w:top w:val="none" w:sz="0" w:space="0" w:color="auto"/>
        <w:left w:val="none" w:sz="0" w:space="0" w:color="auto"/>
        <w:bottom w:val="none" w:sz="0" w:space="0" w:color="auto"/>
        <w:right w:val="none" w:sz="0" w:space="0" w:color="auto"/>
      </w:divBdr>
    </w:div>
    <w:div w:id="794757945">
      <w:bodyDiv w:val="1"/>
      <w:marLeft w:val="0"/>
      <w:marRight w:val="0"/>
      <w:marTop w:val="0"/>
      <w:marBottom w:val="0"/>
      <w:divBdr>
        <w:top w:val="none" w:sz="0" w:space="0" w:color="auto"/>
        <w:left w:val="none" w:sz="0" w:space="0" w:color="auto"/>
        <w:bottom w:val="none" w:sz="0" w:space="0" w:color="auto"/>
        <w:right w:val="none" w:sz="0" w:space="0" w:color="auto"/>
      </w:divBdr>
    </w:div>
    <w:div w:id="821509004">
      <w:bodyDiv w:val="1"/>
      <w:marLeft w:val="0"/>
      <w:marRight w:val="0"/>
      <w:marTop w:val="0"/>
      <w:marBottom w:val="0"/>
      <w:divBdr>
        <w:top w:val="none" w:sz="0" w:space="0" w:color="auto"/>
        <w:left w:val="none" w:sz="0" w:space="0" w:color="auto"/>
        <w:bottom w:val="none" w:sz="0" w:space="0" w:color="auto"/>
        <w:right w:val="none" w:sz="0" w:space="0" w:color="auto"/>
      </w:divBdr>
    </w:div>
    <w:div w:id="895168402">
      <w:bodyDiv w:val="1"/>
      <w:marLeft w:val="0"/>
      <w:marRight w:val="0"/>
      <w:marTop w:val="0"/>
      <w:marBottom w:val="0"/>
      <w:divBdr>
        <w:top w:val="none" w:sz="0" w:space="0" w:color="auto"/>
        <w:left w:val="none" w:sz="0" w:space="0" w:color="auto"/>
        <w:bottom w:val="none" w:sz="0" w:space="0" w:color="auto"/>
        <w:right w:val="none" w:sz="0" w:space="0" w:color="auto"/>
      </w:divBdr>
    </w:div>
    <w:div w:id="896673665">
      <w:bodyDiv w:val="1"/>
      <w:marLeft w:val="0"/>
      <w:marRight w:val="0"/>
      <w:marTop w:val="0"/>
      <w:marBottom w:val="0"/>
      <w:divBdr>
        <w:top w:val="none" w:sz="0" w:space="0" w:color="auto"/>
        <w:left w:val="none" w:sz="0" w:space="0" w:color="auto"/>
        <w:bottom w:val="none" w:sz="0" w:space="0" w:color="auto"/>
        <w:right w:val="none" w:sz="0" w:space="0" w:color="auto"/>
      </w:divBdr>
    </w:div>
    <w:div w:id="918755578">
      <w:bodyDiv w:val="1"/>
      <w:marLeft w:val="0"/>
      <w:marRight w:val="0"/>
      <w:marTop w:val="0"/>
      <w:marBottom w:val="0"/>
      <w:divBdr>
        <w:top w:val="none" w:sz="0" w:space="0" w:color="auto"/>
        <w:left w:val="none" w:sz="0" w:space="0" w:color="auto"/>
        <w:bottom w:val="none" w:sz="0" w:space="0" w:color="auto"/>
        <w:right w:val="none" w:sz="0" w:space="0" w:color="auto"/>
      </w:divBdr>
    </w:div>
    <w:div w:id="947127404">
      <w:bodyDiv w:val="1"/>
      <w:marLeft w:val="0"/>
      <w:marRight w:val="0"/>
      <w:marTop w:val="0"/>
      <w:marBottom w:val="0"/>
      <w:divBdr>
        <w:top w:val="none" w:sz="0" w:space="0" w:color="auto"/>
        <w:left w:val="none" w:sz="0" w:space="0" w:color="auto"/>
        <w:bottom w:val="none" w:sz="0" w:space="0" w:color="auto"/>
        <w:right w:val="none" w:sz="0" w:space="0" w:color="auto"/>
      </w:divBdr>
    </w:div>
    <w:div w:id="1091394474">
      <w:bodyDiv w:val="1"/>
      <w:marLeft w:val="0"/>
      <w:marRight w:val="0"/>
      <w:marTop w:val="0"/>
      <w:marBottom w:val="0"/>
      <w:divBdr>
        <w:top w:val="none" w:sz="0" w:space="0" w:color="auto"/>
        <w:left w:val="none" w:sz="0" w:space="0" w:color="auto"/>
        <w:bottom w:val="none" w:sz="0" w:space="0" w:color="auto"/>
        <w:right w:val="none" w:sz="0" w:space="0" w:color="auto"/>
      </w:divBdr>
    </w:div>
    <w:div w:id="1117791600">
      <w:bodyDiv w:val="1"/>
      <w:marLeft w:val="0"/>
      <w:marRight w:val="0"/>
      <w:marTop w:val="0"/>
      <w:marBottom w:val="0"/>
      <w:divBdr>
        <w:top w:val="none" w:sz="0" w:space="0" w:color="auto"/>
        <w:left w:val="none" w:sz="0" w:space="0" w:color="auto"/>
        <w:bottom w:val="none" w:sz="0" w:space="0" w:color="auto"/>
        <w:right w:val="none" w:sz="0" w:space="0" w:color="auto"/>
      </w:divBdr>
    </w:div>
    <w:div w:id="1130901990">
      <w:bodyDiv w:val="1"/>
      <w:marLeft w:val="0"/>
      <w:marRight w:val="0"/>
      <w:marTop w:val="0"/>
      <w:marBottom w:val="0"/>
      <w:divBdr>
        <w:top w:val="none" w:sz="0" w:space="0" w:color="auto"/>
        <w:left w:val="none" w:sz="0" w:space="0" w:color="auto"/>
        <w:bottom w:val="none" w:sz="0" w:space="0" w:color="auto"/>
        <w:right w:val="none" w:sz="0" w:space="0" w:color="auto"/>
      </w:divBdr>
    </w:div>
    <w:div w:id="1136793898">
      <w:bodyDiv w:val="1"/>
      <w:marLeft w:val="0"/>
      <w:marRight w:val="0"/>
      <w:marTop w:val="0"/>
      <w:marBottom w:val="0"/>
      <w:divBdr>
        <w:top w:val="none" w:sz="0" w:space="0" w:color="auto"/>
        <w:left w:val="none" w:sz="0" w:space="0" w:color="auto"/>
        <w:bottom w:val="none" w:sz="0" w:space="0" w:color="auto"/>
        <w:right w:val="none" w:sz="0" w:space="0" w:color="auto"/>
      </w:divBdr>
    </w:div>
    <w:div w:id="1154949898">
      <w:bodyDiv w:val="1"/>
      <w:marLeft w:val="0"/>
      <w:marRight w:val="0"/>
      <w:marTop w:val="0"/>
      <w:marBottom w:val="0"/>
      <w:divBdr>
        <w:top w:val="none" w:sz="0" w:space="0" w:color="auto"/>
        <w:left w:val="none" w:sz="0" w:space="0" w:color="auto"/>
        <w:bottom w:val="none" w:sz="0" w:space="0" w:color="auto"/>
        <w:right w:val="none" w:sz="0" w:space="0" w:color="auto"/>
      </w:divBdr>
    </w:div>
    <w:div w:id="1193499657">
      <w:bodyDiv w:val="1"/>
      <w:marLeft w:val="0"/>
      <w:marRight w:val="0"/>
      <w:marTop w:val="0"/>
      <w:marBottom w:val="0"/>
      <w:divBdr>
        <w:top w:val="none" w:sz="0" w:space="0" w:color="auto"/>
        <w:left w:val="none" w:sz="0" w:space="0" w:color="auto"/>
        <w:bottom w:val="none" w:sz="0" w:space="0" w:color="auto"/>
        <w:right w:val="none" w:sz="0" w:space="0" w:color="auto"/>
      </w:divBdr>
    </w:div>
    <w:div w:id="1204369099">
      <w:bodyDiv w:val="1"/>
      <w:marLeft w:val="0"/>
      <w:marRight w:val="0"/>
      <w:marTop w:val="0"/>
      <w:marBottom w:val="0"/>
      <w:divBdr>
        <w:top w:val="none" w:sz="0" w:space="0" w:color="auto"/>
        <w:left w:val="none" w:sz="0" w:space="0" w:color="auto"/>
        <w:bottom w:val="none" w:sz="0" w:space="0" w:color="auto"/>
        <w:right w:val="none" w:sz="0" w:space="0" w:color="auto"/>
      </w:divBdr>
    </w:div>
    <w:div w:id="1213467329">
      <w:bodyDiv w:val="1"/>
      <w:marLeft w:val="0"/>
      <w:marRight w:val="0"/>
      <w:marTop w:val="0"/>
      <w:marBottom w:val="0"/>
      <w:divBdr>
        <w:top w:val="none" w:sz="0" w:space="0" w:color="auto"/>
        <w:left w:val="none" w:sz="0" w:space="0" w:color="auto"/>
        <w:bottom w:val="none" w:sz="0" w:space="0" w:color="auto"/>
        <w:right w:val="none" w:sz="0" w:space="0" w:color="auto"/>
      </w:divBdr>
    </w:div>
    <w:div w:id="1254707429">
      <w:bodyDiv w:val="1"/>
      <w:marLeft w:val="0"/>
      <w:marRight w:val="0"/>
      <w:marTop w:val="0"/>
      <w:marBottom w:val="0"/>
      <w:divBdr>
        <w:top w:val="none" w:sz="0" w:space="0" w:color="auto"/>
        <w:left w:val="none" w:sz="0" w:space="0" w:color="auto"/>
        <w:bottom w:val="none" w:sz="0" w:space="0" w:color="auto"/>
        <w:right w:val="none" w:sz="0" w:space="0" w:color="auto"/>
      </w:divBdr>
    </w:div>
    <w:div w:id="1267226494">
      <w:bodyDiv w:val="1"/>
      <w:marLeft w:val="0"/>
      <w:marRight w:val="0"/>
      <w:marTop w:val="0"/>
      <w:marBottom w:val="0"/>
      <w:divBdr>
        <w:top w:val="none" w:sz="0" w:space="0" w:color="auto"/>
        <w:left w:val="none" w:sz="0" w:space="0" w:color="auto"/>
        <w:bottom w:val="none" w:sz="0" w:space="0" w:color="auto"/>
        <w:right w:val="none" w:sz="0" w:space="0" w:color="auto"/>
      </w:divBdr>
    </w:div>
    <w:div w:id="1324310857">
      <w:bodyDiv w:val="1"/>
      <w:marLeft w:val="0"/>
      <w:marRight w:val="0"/>
      <w:marTop w:val="0"/>
      <w:marBottom w:val="0"/>
      <w:divBdr>
        <w:top w:val="none" w:sz="0" w:space="0" w:color="auto"/>
        <w:left w:val="none" w:sz="0" w:space="0" w:color="auto"/>
        <w:bottom w:val="none" w:sz="0" w:space="0" w:color="auto"/>
        <w:right w:val="none" w:sz="0" w:space="0" w:color="auto"/>
      </w:divBdr>
    </w:div>
    <w:div w:id="1328316032">
      <w:bodyDiv w:val="1"/>
      <w:marLeft w:val="0"/>
      <w:marRight w:val="0"/>
      <w:marTop w:val="0"/>
      <w:marBottom w:val="0"/>
      <w:divBdr>
        <w:top w:val="none" w:sz="0" w:space="0" w:color="auto"/>
        <w:left w:val="none" w:sz="0" w:space="0" w:color="auto"/>
        <w:bottom w:val="none" w:sz="0" w:space="0" w:color="auto"/>
        <w:right w:val="none" w:sz="0" w:space="0" w:color="auto"/>
      </w:divBdr>
    </w:div>
    <w:div w:id="1378317724">
      <w:bodyDiv w:val="1"/>
      <w:marLeft w:val="0"/>
      <w:marRight w:val="0"/>
      <w:marTop w:val="0"/>
      <w:marBottom w:val="0"/>
      <w:divBdr>
        <w:top w:val="none" w:sz="0" w:space="0" w:color="auto"/>
        <w:left w:val="none" w:sz="0" w:space="0" w:color="auto"/>
        <w:bottom w:val="none" w:sz="0" w:space="0" w:color="auto"/>
        <w:right w:val="none" w:sz="0" w:space="0" w:color="auto"/>
      </w:divBdr>
    </w:div>
    <w:div w:id="1444223723">
      <w:bodyDiv w:val="1"/>
      <w:marLeft w:val="0"/>
      <w:marRight w:val="0"/>
      <w:marTop w:val="0"/>
      <w:marBottom w:val="0"/>
      <w:divBdr>
        <w:top w:val="none" w:sz="0" w:space="0" w:color="auto"/>
        <w:left w:val="none" w:sz="0" w:space="0" w:color="auto"/>
        <w:bottom w:val="none" w:sz="0" w:space="0" w:color="auto"/>
        <w:right w:val="none" w:sz="0" w:space="0" w:color="auto"/>
      </w:divBdr>
    </w:div>
    <w:div w:id="1477337815">
      <w:bodyDiv w:val="1"/>
      <w:marLeft w:val="0"/>
      <w:marRight w:val="0"/>
      <w:marTop w:val="0"/>
      <w:marBottom w:val="0"/>
      <w:divBdr>
        <w:top w:val="none" w:sz="0" w:space="0" w:color="auto"/>
        <w:left w:val="none" w:sz="0" w:space="0" w:color="auto"/>
        <w:bottom w:val="none" w:sz="0" w:space="0" w:color="auto"/>
        <w:right w:val="none" w:sz="0" w:space="0" w:color="auto"/>
      </w:divBdr>
    </w:div>
    <w:div w:id="1531870351">
      <w:bodyDiv w:val="1"/>
      <w:marLeft w:val="0"/>
      <w:marRight w:val="0"/>
      <w:marTop w:val="0"/>
      <w:marBottom w:val="0"/>
      <w:divBdr>
        <w:top w:val="none" w:sz="0" w:space="0" w:color="auto"/>
        <w:left w:val="none" w:sz="0" w:space="0" w:color="auto"/>
        <w:bottom w:val="none" w:sz="0" w:space="0" w:color="auto"/>
        <w:right w:val="none" w:sz="0" w:space="0" w:color="auto"/>
      </w:divBdr>
    </w:div>
    <w:div w:id="1564019455">
      <w:bodyDiv w:val="1"/>
      <w:marLeft w:val="0"/>
      <w:marRight w:val="0"/>
      <w:marTop w:val="0"/>
      <w:marBottom w:val="0"/>
      <w:divBdr>
        <w:top w:val="none" w:sz="0" w:space="0" w:color="auto"/>
        <w:left w:val="none" w:sz="0" w:space="0" w:color="auto"/>
        <w:bottom w:val="none" w:sz="0" w:space="0" w:color="auto"/>
        <w:right w:val="none" w:sz="0" w:space="0" w:color="auto"/>
      </w:divBdr>
    </w:div>
    <w:div w:id="1618366778">
      <w:bodyDiv w:val="1"/>
      <w:marLeft w:val="0"/>
      <w:marRight w:val="0"/>
      <w:marTop w:val="0"/>
      <w:marBottom w:val="0"/>
      <w:divBdr>
        <w:top w:val="none" w:sz="0" w:space="0" w:color="auto"/>
        <w:left w:val="none" w:sz="0" w:space="0" w:color="auto"/>
        <w:bottom w:val="none" w:sz="0" w:space="0" w:color="auto"/>
        <w:right w:val="none" w:sz="0" w:space="0" w:color="auto"/>
      </w:divBdr>
    </w:div>
    <w:div w:id="1621305074">
      <w:bodyDiv w:val="1"/>
      <w:marLeft w:val="0"/>
      <w:marRight w:val="0"/>
      <w:marTop w:val="0"/>
      <w:marBottom w:val="0"/>
      <w:divBdr>
        <w:top w:val="none" w:sz="0" w:space="0" w:color="auto"/>
        <w:left w:val="none" w:sz="0" w:space="0" w:color="auto"/>
        <w:bottom w:val="none" w:sz="0" w:space="0" w:color="auto"/>
        <w:right w:val="none" w:sz="0" w:space="0" w:color="auto"/>
      </w:divBdr>
    </w:div>
    <w:div w:id="1644770380">
      <w:bodyDiv w:val="1"/>
      <w:marLeft w:val="0"/>
      <w:marRight w:val="0"/>
      <w:marTop w:val="0"/>
      <w:marBottom w:val="0"/>
      <w:divBdr>
        <w:top w:val="none" w:sz="0" w:space="0" w:color="auto"/>
        <w:left w:val="none" w:sz="0" w:space="0" w:color="auto"/>
        <w:bottom w:val="none" w:sz="0" w:space="0" w:color="auto"/>
        <w:right w:val="none" w:sz="0" w:space="0" w:color="auto"/>
      </w:divBdr>
    </w:div>
    <w:div w:id="1700660672">
      <w:bodyDiv w:val="1"/>
      <w:marLeft w:val="0"/>
      <w:marRight w:val="0"/>
      <w:marTop w:val="0"/>
      <w:marBottom w:val="0"/>
      <w:divBdr>
        <w:top w:val="none" w:sz="0" w:space="0" w:color="auto"/>
        <w:left w:val="none" w:sz="0" w:space="0" w:color="auto"/>
        <w:bottom w:val="none" w:sz="0" w:space="0" w:color="auto"/>
        <w:right w:val="none" w:sz="0" w:space="0" w:color="auto"/>
      </w:divBdr>
    </w:div>
    <w:div w:id="1721052759">
      <w:bodyDiv w:val="1"/>
      <w:marLeft w:val="0"/>
      <w:marRight w:val="0"/>
      <w:marTop w:val="0"/>
      <w:marBottom w:val="0"/>
      <w:divBdr>
        <w:top w:val="none" w:sz="0" w:space="0" w:color="auto"/>
        <w:left w:val="none" w:sz="0" w:space="0" w:color="auto"/>
        <w:bottom w:val="none" w:sz="0" w:space="0" w:color="auto"/>
        <w:right w:val="none" w:sz="0" w:space="0" w:color="auto"/>
      </w:divBdr>
    </w:div>
    <w:div w:id="1724794462">
      <w:bodyDiv w:val="1"/>
      <w:marLeft w:val="0"/>
      <w:marRight w:val="0"/>
      <w:marTop w:val="0"/>
      <w:marBottom w:val="0"/>
      <w:divBdr>
        <w:top w:val="none" w:sz="0" w:space="0" w:color="auto"/>
        <w:left w:val="none" w:sz="0" w:space="0" w:color="auto"/>
        <w:bottom w:val="none" w:sz="0" w:space="0" w:color="auto"/>
        <w:right w:val="none" w:sz="0" w:space="0" w:color="auto"/>
      </w:divBdr>
    </w:div>
    <w:div w:id="1726686519">
      <w:bodyDiv w:val="1"/>
      <w:marLeft w:val="0"/>
      <w:marRight w:val="0"/>
      <w:marTop w:val="0"/>
      <w:marBottom w:val="0"/>
      <w:divBdr>
        <w:top w:val="none" w:sz="0" w:space="0" w:color="auto"/>
        <w:left w:val="none" w:sz="0" w:space="0" w:color="auto"/>
        <w:bottom w:val="none" w:sz="0" w:space="0" w:color="auto"/>
        <w:right w:val="none" w:sz="0" w:space="0" w:color="auto"/>
      </w:divBdr>
    </w:div>
    <w:div w:id="1772778163">
      <w:bodyDiv w:val="1"/>
      <w:marLeft w:val="0"/>
      <w:marRight w:val="0"/>
      <w:marTop w:val="0"/>
      <w:marBottom w:val="0"/>
      <w:divBdr>
        <w:top w:val="none" w:sz="0" w:space="0" w:color="auto"/>
        <w:left w:val="none" w:sz="0" w:space="0" w:color="auto"/>
        <w:bottom w:val="none" w:sz="0" w:space="0" w:color="auto"/>
        <w:right w:val="none" w:sz="0" w:space="0" w:color="auto"/>
      </w:divBdr>
    </w:div>
    <w:div w:id="1938756688">
      <w:bodyDiv w:val="1"/>
      <w:marLeft w:val="0"/>
      <w:marRight w:val="0"/>
      <w:marTop w:val="0"/>
      <w:marBottom w:val="0"/>
      <w:divBdr>
        <w:top w:val="none" w:sz="0" w:space="0" w:color="auto"/>
        <w:left w:val="none" w:sz="0" w:space="0" w:color="auto"/>
        <w:bottom w:val="none" w:sz="0" w:space="0" w:color="auto"/>
        <w:right w:val="none" w:sz="0" w:space="0" w:color="auto"/>
      </w:divBdr>
    </w:div>
    <w:div w:id="1941330576">
      <w:bodyDiv w:val="1"/>
      <w:marLeft w:val="0"/>
      <w:marRight w:val="0"/>
      <w:marTop w:val="0"/>
      <w:marBottom w:val="0"/>
      <w:divBdr>
        <w:top w:val="none" w:sz="0" w:space="0" w:color="auto"/>
        <w:left w:val="none" w:sz="0" w:space="0" w:color="auto"/>
        <w:bottom w:val="none" w:sz="0" w:space="0" w:color="auto"/>
        <w:right w:val="none" w:sz="0" w:space="0" w:color="auto"/>
      </w:divBdr>
    </w:div>
    <w:div w:id="1945965452">
      <w:bodyDiv w:val="1"/>
      <w:marLeft w:val="0"/>
      <w:marRight w:val="0"/>
      <w:marTop w:val="0"/>
      <w:marBottom w:val="0"/>
      <w:divBdr>
        <w:top w:val="none" w:sz="0" w:space="0" w:color="auto"/>
        <w:left w:val="none" w:sz="0" w:space="0" w:color="auto"/>
        <w:bottom w:val="none" w:sz="0" w:space="0" w:color="auto"/>
        <w:right w:val="none" w:sz="0" w:space="0" w:color="auto"/>
      </w:divBdr>
    </w:div>
    <w:div w:id="1993294887">
      <w:bodyDiv w:val="1"/>
      <w:marLeft w:val="0"/>
      <w:marRight w:val="0"/>
      <w:marTop w:val="0"/>
      <w:marBottom w:val="0"/>
      <w:divBdr>
        <w:top w:val="none" w:sz="0" w:space="0" w:color="auto"/>
        <w:left w:val="none" w:sz="0" w:space="0" w:color="auto"/>
        <w:bottom w:val="none" w:sz="0" w:space="0" w:color="auto"/>
        <w:right w:val="none" w:sz="0" w:space="0" w:color="auto"/>
      </w:divBdr>
    </w:div>
    <w:div w:id="2004353801">
      <w:bodyDiv w:val="1"/>
      <w:marLeft w:val="0"/>
      <w:marRight w:val="0"/>
      <w:marTop w:val="0"/>
      <w:marBottom w:val="0"/>
      <w:divBdr>
        <w:top w:val="none" w:sz="0" w:space="0" w:color="auto"/>
        <w:left w:val="none" w:sz="0" w:space="0" w:color="auto"/>
        <w:bottom w:val="none" w:sz="0" w:space="0" w:color="auto"/>
        <w:right w:val="none" w:sz="0" w:space="0" w:color="auto"/>
      </w:divBdr>
    </w:div>
    <w:div w:id="207704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limateconnectionsplymouth.co.uk/wp-content/uploads/2023/07/Plymouth-Greenhouse-Gas-Monitoring-Report-2022-Accessible.pdf" TargetMode="External"/><Relationship Id="rId18" Type="http://schemas.openxmlformats.org/officeDocument/2006/relationships/hyperlink" Target="https://climateconnectionsplymouth.co.uk/" TargetMode="External"/><Relationship Id="rId26" Type="http://schemas.openxmlformats.org/officeDocument/2006/relationships/hyperlink" Target="https://www.plymouth.gov.uk/thrive-plymouth" TargetMode="External"/><Relationship Id="rId39" Type="http://schemas.openxmlformats.org/officeDocument/2006/relationships/hyperlink" Target="https://ghgprotocol.org/" TargetMode="External"/><Relationship Id="rId21" Type="http://schemas.openxmlformats.org/officeDocument/2006/relationships/hyperlink" Target="https://www.plymouth.gov.uk/plymouth-net-zero-partnership" TargetMode="External"/><Relationship Id="rId34" Type="http://schemas.openxmlformats.org/officeDocument/2006/relationships/hyperlink" Target="https://ghgprotocol.org/" TargetMode="External"/><Relationship Id="rId42" Type="http://schemas.openxmlformats.org/officeDocument/2006/relationships/hyperlink" Target="https://theplymouthplan.com/explore/themes/getting-aroun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ccc.org.uk/wp-content/uploads/2020/12/The-Sixth-Carbon-Budget-The-UKs-path-to-Net-Zero.pdf" TargetMode="External"/><Relationship Id="rId29" Type="http://schemas.openxmlformats.org/officeDocument/2006/relationships/hyperlink" Target="https://www.plymouth.gov.uk/plymouth-and-south-devon-community-forest"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mateconnectionsplymouth.co.uk/the-challenge/" TargetMode="External"/><Relationship Id="rId24" Type="http://schemas.openxmlformats.org/officeDocument/2006/relationships/hyperlink" Target="https://www.plymouth.gov.uk/local-cycling-and-walking-infrastructure-plan" TargetMode="External"/><Relationship Id="rId32" Type="http://schemas.openxmlformats.org/officeDocument/2006/relationships/image" Target="media/image4.png"/><Relationship Id="rId37" Type="http://schemas.openxmlformats.org/officeDocument/2006/relationships/hyperlink" Target="https://climateconnectionsplymouth.co.uk/challenges/what-does-this-mean-for-plymouth/"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theccc.org.uk/wp-content/uploads/2020/12/Local-Authorities-and-the-Sixth-Carbon-Budget.pdf" TargetMode="External"/><Relationship Id="rId23" Type="http://schemas.openxmlformats.org/officeDocument/2006/relationships/hyperlink" Target="https://www.plymouth.gov.uk/sites/default/files/2022-12/Plymouth-South-West-Devon-Climate-Emergency-Planning-Statement.pdf" TargetMode="External"/><Relationship Id="rId28" Type="http://schemas.openxmlformats.org/officeDocument/2006/relationships/hyperlink" Target="https://plymouthsoundnationalmarinepark.com/" TargetMode="External"/><Relationship Id="rId36" Type="http://schemas.openxmlformats.org/officeDocument/2006/relationships/hyperlink" Target="file:///S:\Development\SP&amp;I\Green-low%20carbon\Climate%20Emergency\CE%20Emissions%20Monitoring\Corporate%20Emissions%20reports" TargetMode="External"/><Relationship Id="rId10" Type="http://schemas.openxmlformats.org/officeDocument/2006/relationships/footer" Target="footer2.xml"/><Relationship Id="rId19" Type="http://schemas.openxmlformats.org/officeDocument/2006/relationships/hyperlink" Target="https://climateconnectionsplymouth.co.uk/" TargetMode="External"/><Relationship Id="rId31" Type="http://schemas.openxmlformats.org/officeDocument/2006/relationships/hyperlink" Target="https://www.climateresilient-dcios.org.uk/"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climateconnectionsplymouth.co.uk/journey-to-zero/the-challenge/" TargetMode="External"/><Relationship Id="rId27" Type="http://schemas.openxmlformats.org/officeDocument/2006/relationships/hyperlink" Target="https://www.plymouth.gov.uk/cost-living" TargetMode="External"/><Relationship Id="rId30" Type="http://schemas.openxmlformats.org/officeDocument/2006/relationships/hyperlink" Target="https://pasdfreeport.com/" TargetMode="External"/><Relationship Id="rId35" Type="http://schemas.openxmlformats.org/officeDocument/2006/relationships/hyperlink" Target="https://climateconnectionsplymouth.co.uk/wp-content/uploads/2025/01/Plymouth-Emissions-2024.pdf"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theplymouthplan.com/policies/gro7-reducing-carbon-emissions-and-adapting-to-climate-change" TargetMode="External"/><Relationship Id="rId17" Type="http://schemas.openxmlformats.org/officeDocument/2006/relationships/hyperlink" Target="https://climateconnectionsplymouth.co.uk/the-challenge/" TargetMode="External"/><Relationship Id="rId25" Type="http://schemas.openxmlformats.org/officeDocument/2006/relationships/hyperlink" Target="https://www.plymouth.gov.uk/city-change-fund" TargetMode="External"/><Relationship Id="rId33" Type="http://schemas.openxmlformats.org/officeDocument/2006/relationships/hyperlink" Target="https://www.plymouth.gov.uk/sites/default/files/StatementOfCommunityInvolvement2020.pdf" TargetMode="External"/><Relationship Id="rId38" Type="http://schemas.openxmlformats.org/officeDocument/2006/relationships/hyperlink" Target="https://www.theccc.org.uk/wp-content/uploads/2020/12/Local-Authorities-and-the-Sixth-Carbon-Budget.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heccc.org.uk/wp-content/uploads/2020/12/Local-Authorities-and-the-Sixth-Carbon-Budget.pdf" TargetMode="External"/><Relationship Id="rId2" Type="http://schemas.openxmlformats.org/officeDocument/2006/relationships/hyperlink" Target="https://climateconnectionsplymouth.co.uk/challenges/what-does-this-mean-for-plymouth/" TargetMode="External"/><Relationship Id="rId1" Type="http://schemas.openxmlformats.org/officeDocument/2006/relationships/hyperlink" Target="https://ghgprotocol.org/" TargetMode="External"/><Relationship Id="rId4" Type="http://schemas.openxmlformats.org/officeDocument/2006/relationships/hyperlink" Target="https://www.theccc.org.uk/publication/sixth-carbon-budg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8F8F-1B7F-4864-BA39-C1D3F34D7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23</Pages>
  <Words>7118</Words>
  <Characters>40579</Characters>
  <Application>Microsoft Office Word</Application>
  <DocSecurity>0</DocSecurity>
  <Lines>338</Lines>
  <Paragraphs>95</Paragraphs>
  <ScaleCrop>false</ScaleCrop>
  <Company>Plymouth City council</Company>
  <LinksUpToDate>false</LinksUpToDate>
  <CharactersWithSpaces>47602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Miller, Rebecca</dc:creator>
  <cp:keywords/>
  <cp:lastModifiedBy>Christopher Parsons</cp:lastModifiedBy>
  <cp:revision>297</cp:revision>
  <cp:lastPrinted>2024-06-03T10:29:00Z</cp:lastPrinted>
  <dcterms:created xsi:type="dcterms:W3CDTF">2025-01-08T12:34:00Z</dcterms:created>
  <dcterms:modified xsi:type="dcterms:W3CDTF">2025-01-29T16:35:00Z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2023-02-17T08:59:36Z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82f8053b-bc01-401b-aff7-3b53aa697079</vt:lpwstr>
  </property>
  <property fmtid="{D5CDD505-2E9C-101B-9397-08002B2CF9AE}" pid="8" name="MSIP_Label_17e41a6f-20d9-495c-ab00-eea5f6384699_ContentBits">
    <vt:lpwstr>1</vt:lpwstr>
  </property>
</Properties>
</file>